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8194d8k.htm"/>
      <w:bookmarkStart w:id="1" w:name="ksd9381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Bicara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05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001-42271</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83-2903745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116 Huntington Avenue,</w:t>
            </w:r>
          </w:p>
        </w:tc>
      </w:tr>
      <w:tr>
        <w:trPr/>
        <w:tc>
          <w:tcPr>
            <w:tcW w:w="5285" w:type="dxa"/>
            <w:tcBorders/>
            <w:vAlign w:val="center"/>
          </w:tcPr>
          <w:p>
            <w:pPr>
              <w:pStyle w:val="TableContents"/>
              <w:bidi w:val="0"/>
              <w:spacing w:before="0" w:after="283"/>
              <w:jc w:val="center"/>
              <w:rPr>
                <w:b/>
              </w:rPr>
            </w:pPr>
            <w:r>
              <w:rPr>
                <w:b/>
              </w:rPr>
              <w:t>Suite 703 Boston, MA 02116</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200" w:after="0"/>
        <w:jc w:val="center"/>
        <w:rPr>
          <w:rFonts w:ascii="Times New Roman" w:hAnsi="Times New Roman"/>
          <w:b/>
          <w:sz w:val="20"/>
        </w:rPr>
      </w:pPr>
      <w:r>
        <w:rPr>
          <w:rFonts w:ascii="Times New Roman" w:hAnsi="Times New Roman"/>
          <w:b/>
          <w:sz w:val="20"/>
        </w:rPr>
        <w:t>(617) 468-4219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350"/>
        <w:gridCol w:w="60"/>
        <w:gridCol w:w="710"/>
        <w:gridCol w:w="60"/>
        <w:gridCol w:w="263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BCAX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12b-2 of the Exchange Act.</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24, 2026, Bicara Therapeutics Inc. (the “Company”) entered into an underwriting agreement (the “Underwriting Agreement”) with Morgan Stanley &amp; Co. LLC, TD Securities (USA) LLC and BofA Securities, Inc., as representatives (the “Representatives”) of the underwriters named therein (the “Underwriters”), pursuant to which the Company agreed to issue and sell an aggregate of (i) 7,175,000 shares (the “Firm Shares”) of its common stock, par value $0.0001 per share (the “Common Stock”), to the Underwriters at a price to the public of $16.00 per share and (ii) pre-funded warrants (the “Pre-Funded Warrants”) to purchase up to 2,200,000 shares of Common Stock (such shares of Common Stock issuable upon exercise of the Pre-Funded Warrants, the “Pre-Funded Warrant Shares”), to the Underwriters at a public offering price of $15.9999 per Pre-Funded Warrant (the “Offering”). Pursuant to the Underwriting Agreement, the Company granted the underwriters a 30-day option to purchase up to an additional 1,406,250 shares of its Common Stock (the “Optional Shares”, and together with the Firm Shares and the Pre-Funded Warrant Shares, the “Shares”) at the public offering price, less underwriting discounts and commissions. The underwriters exercised such option in full on February 25, 2026. The Offering closed on February 26, 2026. All the Shares and Pre-Funded Warrants in the Offering were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 net proceeds of this offering, after deducting underwriting discounts and commissions and estimated offering expenses, were approximately $161.8 million. The Company intends to use the net proceeds from the offering to further invest in and build the Company’s medical and commercial infrastructure to support a planned regulatory filing and commercial launch for ficerafusp alfa, if approved, in the U.S.; to further accelerate the development of ficerafusp alfa in first-line human papillomavirus-negative recurrent/metastatic head and neck squamous cell carcinoma, including a less frequent dosing schedule; to fund manufacturing costs for ficerafusp alfa for ongoing and anticipated drug development efforts; to fund early signal-finding to support future indication expansion for ficerafusp alfa; and for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will be exercisable for one share of Common Stock at an exercise price of $0.0001 per share, or alternatively, at the election of each holder, shares of Common Stock will be issued through a cashless exercise, with the net number of shares of Common Stock determined according to the formula set forth in each Pre-Funded Warrant. The Pre-Funded Warrants will be immediately exercisable and may be exercised at any time until all of the Pre-Funded Warrants are exercised in full. A holder (together with its affiliates) may not exercise any portion of the Pre-Funded Warrants if immediately after exercise, the holder (together with its affiliates), would beneficially own in excess of 9.99% of the number of shares of Common Stock outstanding immediately after giving effect to the exercise (the “Ownership Limit”). Upon at least 61 days’ prior notice from the holder to the Company, the holder may increase or decrease the Ownership Limit to any other percentage (not in excess of 19.99%).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intend to list the Pre-Funded Warrants on the Nasdaq Global Market, any other national securities exchange or any other nationally recognized trading system. The foregoing summary of the Pre-Funded Warrant is qualified in its entirety by reference to the form of Pre-Funded Warrant, a copy of which is filed as Exhibit 4.1 to this Current Report on Form 8-K (the “Report”)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and warranties, conditions to closing, market standoff provisions, termination provisions and indemnification obligations, including for liabilities under the Securities Act of 1933, as amended (the “Securities Act”). The Offering was made pursuant to a shelf registration statement on Form S-3 (File No. 333-290707) that was initially filed by the Company with the Securities and Exchange Commission (the “SEC”) on October 3, 2025, and declared effective by the SEC on November 26, 2025, a free-writing prospectus dated February 24, 2026 and a related final prospectus supplement dated 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is filed as Exhibit 1.1 to this the Report and is incorporated herein by reference, and the foregoing description of the terms of the Underwriting Agreement is qualified in its entirety by reference to such exhibit. A copy of the opinion of Goodwin Procter LLP, relating to the validity of the Shares in connection with the Offering, is filed as Exhibit 5.1 to this Report.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24, 2026, the Company disclosed in a preliminary prospectus supplement related to the Offering that its preliminary unaudited cash, cash equivalents and investments as of December 31, 2025 were approximately $414.8 million.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data included in this Report has been prepared by, and is the responsibility of the Company’s management. KPMG LLP, the Company’s independent registered public accounting firm, has not audited or reviewed nor applied agreed-upon procedures with respect to the preliminary financial data. Accordingly, KPMG LLP does not express an opinion or any other form of assurance with respect thereto. The Company has not yet completed its quarter-end or year-end financial close process for the quarter and year ended December 31, 2025. This estimate of the Company’s cash, cash equivalents and investments as of December 31, 2025 is preliminary, has not been audited and is subject to change upon completion of its financial statement closing procedures. Additional information and disclosure would be required for a more complete understanding of the Company’s financial position and results of operations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Report under Item 2.02 is being furnished and shall not be deemed to be “filed” for the purposes of Section 18 of the Securities and Exchange Act of 1934, as amended (the “Exchange Act”), or otherwise subject to the liabilities of that section and will not be incorporated by reference into any filing by the Company under the Securities Act of 1933, as amended, or the Exchange Act, unless specifically identified as being incorporated therein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The following exhibits are being filed herewith: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38194dex11.htm">
              <w:r>
                <w:rPr>
                  <w:rStyle w:val="InternetLink"/>
                </w:rPr>
                <w:t xml:space="preserve">Underwriting Agreement dated February 24,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38194dex41.htm">
              <w:r>
                <w:rPr>
                  <w:rStyle w:val="InternetLink"/>
                </w:rPr>
                <w:t xml:space="preserve">Form of Pre-Funded Warrant.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38194dex51.htm">
              <w:r>
                <w:rPr>
                  <w:rStyle w:val="InternetLink"/>
                </w:rPr>
                <w:t xml:space="preserve">Opinion of Goodwin Procter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38194dex51.htm">
              <w:r>
                <w:rPr>
                  <w:rStyle w:val="InternetLink"/>
                </w:rPr>
                <w:t xml:space="preserve">Consent of Goodwin Procter LLP (contained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the Private Securities Litigation Reform Act of 1995, as amended. These statements may be identified by words such as “may,” “might,” “will,” “could,” “would,” “should,” “plan,” “anticipate,” “intend,” “believe,” “expect,” “estimate,” “seek,” “predict,” “future,” “project,” “potential,” “continue,” “target” and similar words or expressions, or the negative thereof, are intended to identify forward-looking statements, although not all contain identifying words. Any statements in this Report that are not statements of historical fact may be deemed to be forward-looking statements. These forward-looking statements include, without limitation, the Company’s strategy, business plans, and focus, express or implied statements regarding the anticipated net proceeds from the Offering and the anticipated use of proceeds from the Offering. Any forward-looking statements in this Report are based on management’s current expectations and beliefs and are subject to a number of risks and uncertainties that are difficult to predict. Factors that could cause actual results to differ include, but are not limited to, risks and uncertainties related to uncertainties inherent in the development of product candidates, including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conduct of research activities and the conduct of clinical trials; uncertainties as to the availability and timing of results and data from clinical trials; whether results from prior preclinical studies, preliminary or interim data from earlier stage clinical trials will be predictive of the results of subsequent preclinical studies and clinical trials; regulatory developments in the United States and foreign countries; whether the Company’s cash resources will be sufficient to fund its foreseeable and unforeseeable operating expenses and capital expenditure requirements; as well as the risks and uncertainties identified in the Company’s filings with the SEC, including its Annual Report on Form 10-K for the year ended December 31, 2024, its Quarterly Report on Form 10-Q for the quarter ended September 30, 2025 and any subsequent filings the Company makes with the SEC.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573" w:type="dxa"/>
        <w:jc w:val="left"/>
        <w:tblInd w:w="0" w:type="dxa"/>
        <w:tblLayout w:type="fixed"/>
        <w:tblCellMar>
          <w:top w:w="0" w:type="dxa"/>
          <w:left w:w="0" w:type="dxa"/>
          <w:bottom w:w="0" w:type="dxa"/>
          <w:right w:w="0" w:type="dxa"/>
        </w:tblCellMar>
      </w:tblPr>
      <w:tblGrid>
        <w:gridCol w:w="2360"/>
        <w:gridCol w:w="60"/>
        <w:gridCol w:w="23"/>
        <w:gridCol w:w="60"/>
        <w:gridCol w:w="650"/>
        <w:gridCol w:w="60"/>
        <w:gridCol w:w="236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0" w:type="dxa"/>
            <w:gridSpan w:val="3"/>
            <w:tcBorders/>
            <w:vAlign w:val="center"/>
          </w:tcPr>
          <w:p>
            <w:pPr>
              <w:pStyle w:val="TableContents"/>
              <w:bidi w:val="0"/>
              <w:spacing w:before="0" w:after="283"/>
              <w:jc w:val="left"/>
              <w:rPr>
                <w:b/>
              </w:rPr>
            </w:pPr>
            <w:r>
              <w:rPr>
                <w:b/>
              </w:rPr>
              <w:t>Bicara Therapeutics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Claire Mazumdar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Claire Mazumdar, Ph.D.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938194dex11.htm"/>
      <w:bookmarkStart w:id="3" w:name="ksd938194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BICARA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7,175,000 SHARES OF COMMON STOCK, PAR VALUE $0.0001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PRE-FUNDED WARRANTS TO PURCHASE UP TO 2,200,000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February 24,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pPr>
      <w:r>
        <w:rPr/>
        <w:t> </w:t>
      </w:r>
      <w:r>
        <w:rPr>
          <w:rFonts w:ascii="Times New Roman" w:hAnsi="Times New Roman"/>
          <w:sz w:val="20"/>
        </w:rPr>
        <w:t xml:space="preserve">1585 Broadway </w:t>
      </w:r>
    </w:p>
    <w:p>
      <w:pPr>
        <w:pStyle w:val="TextBody"/>
        <w:bidi w:val="0"/>
        <w:spacing w:before="0" w:after="0"/>
        <w:jc w:val="left"/>
        <w:rPr/>
      </w:pPr>
      <w:r>
        <w:rPr/>
        <w:t> </w:t>
      </w: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pPr>
      <w:r>
        <w:rPr/>
        <w:t> </w:t>
      </w:r>
      <w:r>
        <w:rPr>
          <w:rFonts w:ascii="Times New Roman" w:hAnsi="Times New Roman"/>
          <w:sz w:val="20"/>
        </w:rPr>
        <w:t xml:space="preserve">1 Vanderbilt Avenue </w:t>
      </w:r>
    </w:p>
    <w:p>
      <w:pPr>
        <w:pStyle w:val="TextBody"/>
        <w:bidi w:val="0"/>
        <w:spacing w:before="0" w:after="0"/>
        <w:jc w:val="left"/>
        <w:rPr/>
      </w:pPr>
      <w:r>
        <w:rPr/>
        <w:t> </w:t>
      </w: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pPr>
      <w:r>
        <w:rPr/>
        <w:t> </w:t>
      </w:r>
      <w:r>
        <w:rPr>
          <w:rFonts w:ascii="Times New Roman" w:hAnsi="Times New Roman"/>
          <w:sz w:val="20"/>
        </w:rPr>
        <w:t xml:space="preserve">One Bryant Park </w:t>
      </w:r>
    </w:p>
    <w:p>
      <w:pPr>
        <w:pStyle w:val="TextBody"/>
        <w:bidi w:val="0"/>
        <w:spacing w:before="0" w:after="0"/>
        <w:jc w:val="left"/>
        <w:rPr/>
      </w:pPr>
      <w:r>
        <w:rPr/>
        <w:t> </w:t>
      </w: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Bicara Therapeutics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 hereto (the “</w:t>
      </w:r>
      <w:r>
        <w:rPr>
          <w:rFonts w:ascii="Times New Roman" w:hAnsi="Times New Roman"/>
          <w:b/>
          <w:sz w:val="20"/>
        </w:rPr>
        <w:t>Underwriters</w:t>
      </w:r>
      <w:r>
        <w:rPr>
          <w:rFonts w:ascii="Times New Roman" w:hAnsi="Times New Roman"/>
          <w:sz w:val="20"/>
        </w:rPr>
        <w:t>”) (i) 7,175,000 shares of its common stock, par value $0.0001 per share (the “</w:t>
      </w:r>
      <w:r>
        <w:rPr>
          <w:rFonts w:ascii="Times New Roman" w:hAnsi="Times New Roman"/>
          <w:b/>
          <w:sz w:val="20"/>
        </w:rPr>
        <w:t>Firm Shares</w:t>
      </w:r>
      <w:r>
        <w:rPr>
          <w:rFonts w:ascii="Times New Roman" w:hAnsi="Times New Roman"/>
          <w:sz w:val="20"/>
        </w:rPr>
        <w:t>”) and (ii) pre-funded warrants to purchase up to 2,200,000 shares of the Company’s common stock at an exercise price of $0.0001 (the “</w:t>
      </w:r>
      <w:r>
        <w:rPr>
          <w:rFonts w:ascii="Times New Roman" w:hAnsi="Times New Roman"/>
          <w:b/>
          <w:sz w:val="20"/>
        </w:rPr>
        <w:t>Pre-Funded Warrants</w:t>
      </w:r>
      <w:r>
        <w:rPr>
          <w:rFonts w:ascii="Times New Roman" w:hAnsi="Times New Roman"/>
          <w:sz w:val="20"/>
        </w:rPr>
        <w:t>” and together with the Firm Shares, the “</w:t>
      </w:r>
      <w:r>
        <w:rPr>
          <w:rFonts w:ascii="Times New Roman" w:hAnsi="Times New Roman"/>
          <w:b/>
          <w:sz w:val="20"/>
        </w:rPr>
        <w:t>Firm Securities</w:t>
      </w:r>
      <w:r>
        <w:rPr>
          <w:rFonts w:ascii="Times New Roman" w:hAnsi="Times New Roman"/>
          <w:sz w:val="20"/>
        </w:rPr>
        <w:t>”). The shares of the Company’s common stock issuable upon exercise of the Pre-Funded Warrants are herein referred to as the “</w:t>
      </w:r>
      <w:r>
        <w:rPr>
          <w:rFonts w:ascii="Times New Roman" w:hAnsi="Times New Roman"/>
          <w:b/>
          <w:sz w:val="20"/>
        </w:rPr>
        <w:t>Warrant Shares</w:t>
      </w:r>
      <w:r>
        <w:rPr>
          <w:rFonts w:ascii="Times New Roman" w:hAnsi="Times New Roman"/>
          <w:sz w:val="20"/>
        </w:rPr>
        <w:t>.” The Company also proposes to issue and sell to the several Underwriters not more than an additional 1,406,250 shares of its common stock, par value $0.0001 per share (the “</w:t>
      </w:r>
      <w:r>
        <w:rPr>
          <w:rFonts w:ascii="Times New Roman" w:hAnsi="Times New Roman"/>
          <w:b/>
          <w:sz w:val="20"/>
        </w:rPr>
        <w:t>Additional Shares</w:t>
      </w:r>
      <w:r>
        <w:rPr>
          <w:rFonts w:ascii="Times New Roman" w:hAnsi="Times New Roman"/>
          <w:sz w:val="20"/>
        </w:rPr>
        <w:t>”) if and to the extent that Morgan Stanley &amp; Co. LLC, TD Securities (USA) LLC and BofA Securities, Inc. as representatives of the several Underwriters (the “</w:t>
      </w:r>
      <w:r>
        <w:rPr>
          <w:rFonts w:ascii="Times New Roman" w:hAnsi="Times New Roman"/>
          <w:b/>
          <w:sz w:val="20"/>
        </w:rPr>
        <w:t>Representatives</w:t>
      </w:r>
      <w:r>
        <w:rPr>
          <w:rFonts w:ascii="Times New Roman" w:hAnsi="Times New Roman"/>
          <w:sz w:val="20"/>
        </w:rPr>
        <w:t>”), shall have determined to exercise, on behalf of the Underwriters, the right to purchase such shares of common stock granted to the Underwriters in Section 2 hereof. The Firm Securities and the Additional Shares are hereinafter collectively referred to as the “</w:t>
      </w:r>
      <w:r>
        <w:rPr>
          <w:rFonts w:ascii="Times New Roman" w:hAnsi="Times New Roman"/>
          <w:b/>
          <w:sz w:val="20"/>
        </w:rPr>
        <w:t>Securities.</w:t>
      </w:r>
      <w:r>
        <w:rPr>
          <w:rFonts w:ascii="Times New Roman" w:hAnsi="Times New Roman"/>
          <w:sz w:val="20"/>
        </w:rPr>
        <w:t>” The shares of common stock, par value $0.0001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333- 290707), including a base prospectus, relating to the Securities.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in the form first used to confirm sales of Securities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xml:space="preserve"> </w:t>
      </w:r>
      <w:r>
        <w:rPr>
          <w:rFonts w:ascii="Times New Roman" w:hAnsi="Times New Roman"/>
          <w:b/>
          <w:sz w:val="20"/>
        </w:rPr>
        <w:t>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“base prospectus” shall mean the base prospectus included in the Registration Statement, as supplemented by the preliminary prospectus supplement filed by the Company pursuant to Rule 424(b)(5) of the Securities Act on February 24, 2026, “</w:t>
      </w:r>
      <w:r>
        <w:rPr>
          <w:rFonts w:ascii="Times New Roman" w:hAnsi="Times New Roman"/>
          <w:b/>
          <w:sz w:val="20"/>
        </w:rPr>
        <w:t>Time of Sale Prospectus</w:t>
      </w:r>
      <w:r>
        <w:rPr>
          <w:rFonts w:ascii="Times New Roman" w:hAnsi="Times New Roman"/>
          <w:sz w:val="20"/>
        </w:rPr>
        <w:t>” means the base prospectus contained in the Registration Statement at the time of its effectiveness together with the documents and pricing information set forth in Schedule 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“base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that the only such information furnished by any Underwriter consists of the Underwriter Information described as such in Section 8(b) hereof.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w:t>
      </w:r>
    </w:p>
    <w:p>
      <w:pPr>
        <w:pStyle w:val="TextBody"/>
        <w:bidi w:val="0"/>
        <w:spacing w:before="24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 The authorized capital stock of the Company conforms as to legal matters, in all material respects, to the description thereof contained in each of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The shares of Common Stock outstanding prior to the issuance of the Securities have been duly authorized and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 The Firm Shares and the Additional Shares have been duly authorized and, when issued, delivered and paid for in accordance with the terms of this Agreement, will be validly issued, fully paid and non-assessable, and the issuance of the Firm Shares and the Additional Shares will not be subject to any preemptive or similar rights that have not been validly waived. </w:t>
      </w:r>
    </w:p>
    <w:p>
      <w:pPr>
        <w:pStyle w:val="TextBody"/>
        <w:bidi w:val="0"/>
        <w:spacing w:before="240" w:after="0"/>
        <w:jc w:val="left"/>
        <w:rPr>
          <w:rFonts w:ascii="Times New Roman" w:hAnsi="Times New Roman"/>
          <w:sz w:val="20"/>
        </w:rPr>
      </w:pPr>
      <w:r>
        <w:rPr>
          <w:rFonts w:ascii="Times New Roman" w:hAnsi="Times New Roman"/>
          <w:sz w:val="20"/>
        </w:rPr>
        <w:t xml:space="preserve">(j) The Pre-Funded Warrants have been duly authorized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will be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 (i) and (iii), such contravention would not, singly or in the aggregate, reasonably be expected to have a material adverse effect on the Company and its subsidiaries, taken as a whole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(l)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(m)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(n) Each base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The Company and each of its subsidiaries, to the Company’s knowledge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(q)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(r)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as otherwise have been validly waived or complied with in connection with the issuance and sale of the Securities contemplated hereby. </w:t>
      </w:r>
    </w:p>
    <w:p>
      <w:pPr>
        <w:pStyle w:val="TextBody"/>
        <w:bidi w:val="0"/>
        <w:spacing w:before="240" w:after="0"/>
        <w:jc w:val="left"/>
        <w:rPr>
          <w:rFonts w:ascii="Times New Roman" w:hAnsi="Times New Roman"/>
          <w:sz w:val="20"/>
        </w:rPr>
      </w:pPr>
      <w:r>
        <w:rPr>
          <w:rFonts w:ascii="Times New Roman" w:hAnsi="Times New Roman"/>
          <w:sz w:val="20"/>
        </w:rPr>
        <w:t>(s) None of the following events has occurred or exists: (i) a failure to fulfill the obligations, if any, under the minimum funding standards of Section 302 of the United States Employee Retirement Income Security Act of 1974, as amended (“</w:t>
      </w:r>
      <w:r>
        <w:rPr>
          <w:rFonts w:ascii="Times New Roman" w:hAnsi="Times New Roman"/>
          <w:b/>
          <w:sz w:val="20"/>
        </w:rPr>
        <w:t>ERISA</w:t>
      </w:r>
      <w:r>
        <w:rPr>
          <w:rFonts w:ascii="Times New Roman" w:hAnsi="Times New Roman"/>
          <w:sz w:val="20"/>
        </w:rPr>
        <w:t xml:space="preserve">”), and the regulations and published interpretations thereunder with respect to a Plan that is required to be funded,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on the Company and its subsidiaries, taken as a whole; or (iii) any breach of any contractual obligation, or any violation of law or applicable qualification standards, with respect to the employment or compensation of employees by the Company or any of its subsidiaries that would reasonably be expected to have a material adverse effect on the Company and its subsidiaries, taken as a whole.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compared to the amount of such obligations in the most recently completed fiscal year of the Company and its subsidiaries; (iii) any event or condition giving rise to a liability under Title IV of ERISA that would reasonably be expected to have a material adverse effect on the Company and its subsidiaries, taken as a whole; or (iv) the filing of a claim by one or more employees or former employees of the Company or any of its subsidiaries related to their employment that would reasonably be expected to have a material adverse effect on the Company and its subsidiaries, taken as a whole. For purposes of this section, the term “Plan” means a plan (within the meaning of Section 3(3) of ERISA) subject to Title IV of ERISA with respect to which the Company or any of its subsidiaries may have any liability. </w:t>
      </w:r>
    </w:p>
    <w:p>
      <w:pPr>
        <w:pStyle w:val="TextBody"/>
        <w:bidi w:val="0"/>
        <w:spacing w:before="240" w:after="0"/>
        <w:jc w:val="left"/>
        <w:rPr>
          <w:rFonts w:ascii="Times New Roman" w:hAnsi="Times New Roman"/>
          <w:sz w:val="20"/>
        </w:rPr>
      </w:pPr>
      <w:r>
        <w:rPr>
          <w:rFonts w:ascii="Times New Roman" w:hAnsi="Times New Roman"/>
          <w:sz w:val="20"/>
        </w:rPr>
        <w:t>(t)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(B) the UK Bribery Act 2010, or (C) any other applicable law, regulation, order, decree or directive having the force of law and relating to bribery or corruption (collectively, the “</w:t>
      </w:r>
      <w:r>
        <w:rPr>
          <w:rFonts w:ascii="Times New Roman" w:hAnsi="Times New Roman"/>
          <w:b/>
          <w:sz w:val="20"/>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The operations of the Company and each of its subsidiaries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hAnsi="Times New Roman"/>
          <w:b/>
          <w:sz w:val="20"/>
        </w:rPr>
        <w:t>Anti-Money Laundering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(v) (i) None of the Company, any of its subsidiaries, or any director, officer, employee,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United States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North Korea and Syria).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or whose government is,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(B) to fund or facilitate any money laundering or terrorist financing activities;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manner that would cause or result in a violation of any Anti-Corruption Laws, Anti-Money Laundering Laws or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Since April 24, 2019, the Company and each of its subsidiaries have not engaged in, are not now engaged in, and will not engage in, any dealings or transactions with any Person, or in any country or territory, that at the time of the dealing or transaction is or was, or whose government is or was, the subject of Sanctions. </w:t>
      </w:r>
    </w:p>
    <w:p>
      <w:pPr>
        <w:pStyle w:val="TextBody"/>
        <w:bidi w:val="0"/>
        <w:spacing w:before="240" w:after="0"/>
        <w:jc w:val="left"/>
        <w:rPr>
          <w:rFonts w:ascii="Times New Roman" w:hAnsi="Times New Roman"/>
          <w:sz w:val="20"/>
        </w:rPr>
      </w:pPr>
      <w:r>
        <w:rPr>
          <w:rFonts w:ascii="Times New Roman" w:hAnsi="Times New Roman"/>
          <w:sz w:val="20"/>
        </w:rPr>
        <w:t xml:space="preserve">(w) The Company and its subsidiaries have conducted and will conduct their business in compliance with the Anti-Corruption Laws, the Anti-Money Laundering Laws, and Sanctions, and no investigation, inquiry, action, suit or proceeding by or before any court or governmental agency, authority or body or any arbitrator involving the Company or any of its subsidiaries with respect to the Anti-Corruption Laws, the Anti-Money Laundering Laws or Sanctions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and with the representations and warranties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(x)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(z) (i) The Company and its subsidiaries own or have a valid license to all registered or issued patents, trademarks, service marks and trade names, service names, and applications for any of the forgoing, and know-how (collectively, “</w:t>
      </w:r>
      <w:r>
        <w:rPr>
          <w:rFonts w:ascii="Times New Roman" w:hAnsi="Times New Roman"/>
          <w:b/>
          <w:sz w:val="20"/>
        </w:rPr>
        <w:t>Intellectual Property Rights</w:t>
      </w:r>
      <w:r>
        <w:rPr>
          <w:rFonts w:ascii="Times New Roman" w:hAnsi="Times New Roman"/>
          <w:sz w:val="20"/>
        </w:rPr>
        <w:t xml:space="preserve">”) necessary for, or used in the conduct, or the proposed conduct, of their businesses; (ii) the Intellectual Property Rights owned by the Company and its subsidiaries and, to the Company’s knowledge, the Intellectual Property Rights licensed to the Company and its subsidiaries, are valid, subsisting and enforceable, and except as disclosed in the Registration Statement, Time of Sale Prospectus or Prospectus, there is no pending or, to the Company’s knowledge, threatened action, suit, proceeding or claim by others challenging the validity, scope, inventorship, ownership or enforceability of any such Intellectual Property Rights; (iii) except as disclosed in the Registration Statement, Time of Sale Prospectus or Prospectus, to the Company’s knowledge neither the Company nor any of its subsidiaries has received any notice alleging any infringement, misappropriation or other violation of third party Intellectual Property Rights; (iv) to the Company’s knowledge, no third party is infringing, misappropriating, diluting or otherwise violating, or has infringed, misappropriated or otherwise violated, any Intellectual Property Rights owned by or licensed to the Company; (v) except as disclosed in the Registration Statement, Time of Sale Prospectus or Prospectus, to the Company’s knowledge neither the Company nor any of its subsidiaries infringes, misappropriates or otherwise violates, or has infringed, misappropriated or otherwise violated, any Intellectual Property Rights;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employee, consultant or independent contractor of the Company or any of its subsidiaries is in or has ever been in violation in any material respect of any term of any patent disclosure agreement, invention assignment agreement or provision, nondisclosure agreement or any restrictive covenant to or with a former employer or independent contractor where the basis of such violation relates to any Intellectual Property Rights; (vii) the Intellectual Property Rights owned by the Company or any subsidiary are free and clear of all liens or encumbrances; (viii) to the Company’s knowledge, none of the technology employed by the Company or any subsidiary in the conduct of the business in the manner described in the Time of Sale Prospectus has been obtained or is being used by the Company or any subsidiary in violation of any contractual obligation binding on the Company or any of its officers, consultants,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or employees; (ix) except as disclosed in the Time of Sale Prospectus, neither the Company nor any of its subsidiaries is obligated to pay a material royalty, grant a license or provide other material consideration to any third party in connection with any Intellectual Property Rights; (x) except as disclosed in the Registration Statement, Time of Sale Prospectus or Prospectus, no third party has any ownership right in or to any Intellectual Property Rights that are owned or purported to be owned by the Company or any of its subsidiaries, other than any co-owner of any patent or patent application constituting such Intellectual Property Rights who is listed on the records of the U.S. Patent and Trademark Office, and, to the knowledge of the Company, no third party has any ownership right in or to any Intellectual Property Rights licensed or purported to be licensed to the Company or any of its subsidiaries, other than any licensor to the Company or such subsidiary of such Intellectual Property Rights; and (xi) the Company and its subsidiaries use, and have used, commercially reasonable efforts to appropriately maintain all information intended to be maintained as a trade secret. </w:t>
      </w:r>
    </w:p>
    <w:p>
      <w:pPr>
        <w:pStyle w:val="TextBody"/>
        <w:bidi w:val="0"/>
        <w:spacing w:before="240" w:after="0"/>
        <w:jc w:val="left"/>
        <w:rPr>
          <w:rFonts w:ascii="Times New Roman" w:hAnsi="Times New Roman"/>
          <w:sz w:val="20"/>
        </w:rPr>
      </w:pPr>
      <w:r>
        <w:rPr>
          <w:rFonts w:ascii="Times New Roman" w:hAnsi="Times New Roman"/>
          <w:sz w:val="20"/>
        </w:rPr>
        <w:t>(aa)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sz w:val="20"/>
        </w:rPr>
        <w:t>Open Source Software</w:t>
      </w:r>
      <w:r>
        <w:rPr>
          <w:rFonts w:ascii="Times New Roman" w:hAnsi="Times New Roman"/>
          <w:sz w:val="20"/>
        </w:rPr>
        <w:t xml:space="preserve">”)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material software code or other technology owned by the Company or any of its subsidiaries or (B) any material software code or other material technology owned by the Company or any of its subsidiaries to be (1) disclosed or distributed in source code form, (2) licensed for the purpose of making derivative works or (3) redistributed at no charge. </w:t>
      </w:r>
    </w:p>
    <w:p>
      <w:pPr>
        <w:pStyle w:val="TextBody"/>
        <w:bidi w:val="0"/>
        <w:spacing w:before="240" w:after="0"/>
        <w:jc w:val="left"/>
        <w:rPr>
          <w:rFonts w:ascii="Times New Roman" w:hAnsi="Times New Roman"/>
          <w:sz w:val="20"/>
        </w:rPr>
      </w:pPr>
      <w:r>
        <w:rPr>
          <w:rFonts w:ascii="Times New Roman" w:hAnsi="Times New Roman"/>
          <w:sz w:val="20"/>
        </w:rPr>
        <w:t>(bb) All patents and patent applications owned by or licensed to the Company or any of its subsidiaries or under which the Company or any of its subsidiaries has rights have, to the knowledge of the Company, been duly and properly filed and maintained; to the knowledge of the Company, no person having a duty of candor to the U.S. Patent and Trademark Office (“</w:t>
      </w:r>
      <w:r>
        <w:rPr>
          <w:rFonts w:ascii="Times New Roman" w:hAnsi="Times New Roman"/>
          <w:b/>
          <w:sz w:val="20"/>
        </w:rPr>
        <w:t>USPTO</w:t>
      </w:r>
      <w:r>
        <w:rPr>
          <w:rFonts w:ascii="Times New Roman" w:hAnsi="Times New Roman"/>
          <w:sz w:val="20"/>
        </w:rPr>
        <w:t xml:space="preserve">”) with respect to the prosecution of such patents and patent applications has intentionally breached such duty; and the Company is not aware of any facts required to be disclosed to the USPTO that were not disclosed to the USPTO and which would preclude the grant of a patent in connection with any such application or would form the basis of a finding of invalidity with respect to any patents that have been issued with respect to such applications. </w:t>
      </w:r>
    </w:p>
    <w:p>
      <w:pPr>
        <w:pStyle w:val="TextBody"/>
        <w:bidi w:val="0"/>
        <w:spacing w:before="240" w:after="0"/>
        <w:jc w:val="left"/>
        <w:rPr>
          <w:rFonts w:ascii="Times New Roman" w:hAnsi="Times New Roman"/>
          <w:sz w:val="20"/>
        </w:rPr>
      </w:pPr>
      <w:r>
        <w:rPr>
          <w:rFonts w:ascii="Times New Roman" w:hAnsi="Times New Roman"/>
          <w:sz w:val="20"/>
        </w:rPr>
        <w:t xml:space="preserve">(cc) (i) The Company and each of its subsidiaries have complied and are presently in compliance in material respects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sensitive, confidential or regulated data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Data</w:t>
      </w:r>
      <w:r>
        <w:rPr>
          <w:rFonts w:ascii="Times New Roman" w:hAnsi="Times New Roman"/>
          <w:sz w:val="20"/>
        </w:rPr>
        <w:t xml:space="preserve">”); (ii) the Company has not received any written notification, or, to the Company’s knowledge, any oral notification, of or complaint regarding and is unaware of any other facts that, individually or in the aggregate, would reasonably indicate non-compliance with any Data Security Obligation; and (iii) of there is no action, suit or proceeding by or before any court or governmental agency, authority or body pending or, to the Company’s knowledge, threatened alleging non-compliance with any Data Security Obligation. </w:t>
      </w:r>
    </w:p>
    <w:p>
      <w:pPr>
        <w:pStyle w:val="TextBody"/>
        <w:bidi w:val="0"/>
        <w:spacing w:before="240" w:after="0"/>
        <w:jc w:val="left"/>
        <w:rPr>
          <w:rFonts w:ascii="Times New Roman" w:hAnsi="Times New Roman"/>
          <w:sz w:val="20"/>
        </w:rPr>
      </w:pPr>
      <w:r>
        <w:rPr>
          <w:rFonts w:ascii="Times New Roman" w:hAnsi="Times New Roman"/>
          <w:sz w:val="20"/>
        </w:rPr>
        <w:t>(dd) The Company and each of its subsidiaries have taken all reasonable technical and organizational measures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To the Company’s knowledge, there has been no such Breach, and the Company and its subsidiaries have not been notified of and have no knowledge of any event or condition that would reasonably be expected to result in, any such Breach. </w:t>
      </w:r>
    </w:p>
    <w:p>
      <w:pPr>
        <w:pStyle w:val="TextBody"/>
        <w:bidi w:val="0"/>
        <w:spacing w:before="240" w:after="0"/>
        <w:jc w:val="left"/>
        <w:rPr>
          <w:rFonts w:ascii="Times New Roman" w:hAnsi="Times New Roman"/>
          <w:sz w:val="20"/>
        </w:rPr>
      </w:pPr>
      <w:r>
        <w:rPr>
          <w:rFonts w:ascii="Times New Roman" w:hAnsi="Times New Roman"/>
          <w:sz w:val="20"/>
        </w:rPr>
        <w:t xml:space="preserve">(ee)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(ff)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The Company and each of its subsidiaries possess, and are in material compliance with the terms of, all applications, certificates, approvals, registrations, licenses, authorizations and permits issued by the appropriate federal, state or foreign regulatory authorities necessary to conduct their respective businesses (collectively, “</w:t>
      </w:r>
      <w:r>
        <w:rPr>
          <w:rFonts w:ascii="Times New Roman" w:hAnsi="Times New Roman"/>
          <w:b/>
          <w:sz w:val="20"/>
        </w:rPr>
        <w:t>Permits</w:t>
      </w:r>
      <w:r>
        <w:rPr>
          <w:rFonts w:ascii="Times New Roman" w:hAnsi="Times New Roman"/>
          <w:sz w:val="20"/>
        </w:rPr>
        <w:t xml:space="preserve">”). All Permits are in full force and effect and neither the Company nor any of its subsidiaries has received any notice of a violation of any term of any Permit in any material respect. Each of the Company and its subsidiaries has fulfilled and performed all of its respective obligations with respect to the Permits in all material respects and, to the knowledge of the Company, no event has occurred which allows, or after notice or lapse of time would allow, revocation or termination thereof or result in any other impairment of the rights of the holder of any Permit, except where the failure so to possess would not reasonably be expected, singly or in the aggregate, to result in a material adverse effect on the Company and its subsidiaries, taken as a whole. Neither the Company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(hh) 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hAnsi="Times New Roman"/>
          <w:b/>
          <w:sz w:val="20"/>
        </w:rPr>
        <w:t>U.S. GAAP</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KPMG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(kk)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(ll) From the filing of the Registration Statement to the Commission through the date hereof, the Company has been and is an “emerging growth company,” as defined in Section 2(a) of the Securities Act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(mm) Neither the Company nor any of its subsidiaries, nor any affiliate has any securities rated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(nn) 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(oo) The Company (i) has not engaged in, or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(qq) The Company and each of its subsidiaries (i) is and has, since its inception, been in material compliance with all statutes, rules, and regulations applicable to the conduct of its business, including, but not limited to, the ownership, research, testing, development, registration, licensure, application approval, manufacture, packaging, labeling, processing, use, distribution, marketing, advertising, promotion, sale, offer for sale, recordkeeping, filing of reports, storage, import, export, use, or disposal of drug and biologic product, including, without limitation, Title XVIII of the Social Securities Act, 42 U.S.C. §§ 1395-1395hhh; Title XIX of the Social Security Act, 42 U.S.C. §§ 1396-1396v; the Federal Anti-Kickback Statute, 42 U.S.C. § 1320a-7b(b); the civil False Claims Act, 31 U.S.C. §§ 3729 et seq.; the criminal False Claims Act, 42 U.S.C. § 1320a-7b(a); any criminal laws relating to health care fraud and abuse, including but not limited to 18 U.S.C. §§ 286 and 287 and the health care fraud criminal provisions under the Health Insurance Portability and Accountability Act of 1996, 42 U.S.C. §§ 1320d et seq.; the Civil Monetary Penalties Law, 42 U.S.C. § 1320a-7a; the Federal Food, Drug, and Cosmetic Act (“</w:t>
      </w:r>
      <w:r>
        <w:rPr>
          <w:rFonts w:ascii="Times New Roman" w:hAnsi="Times New Roman"/>
          <w:b/>
          <w:sz w:val="20"/>
        </w:rPr>
        <w:t>FDCA</w:t>
      </w:r>
      <w:r>
        <w:rPr>
          <w:rFonts w:ascii="Times New Roman" w:hAnsi="Times New Roman"/>
          <w:sz w:val="20"/>
        </w:rPr>
        <w:t>”), 21 U.S.C. §§ 301 et seq.; the Public Health Service Act, 42 U.S.C. §§ 201 et seq.; the Patient Protection and Affordable Care Act of 2010 (Pub. Law 111-148), as amended by the Health Care and Education Reconciliation Act of 2010 (Pub. Law 111-152); the exclusion law (42 U.S.C. § 1320-7); and any similar foreign, federal, state and local laws and regulations relating to the same (collectively, the “</w:t>
      </w:r>
      <w:r>
        <w:rPr>
          <w:rFonts w:ascii="Times New Roman" w:hAnsi="Times New Roman"/>
          <w:b/>
          <w:sz w:val="20"/>
        </w:rPr>
        <w:t>Regulatory Laws</w:t>
      </w:r>
      <w:r>
        <w:rPr>
          <w:rFonts w:ascii="Times New Roman" w:hAnsi="Times New Roman"/>
          <w:sz w:val="20"/>
        </w:rPr>
        <w:t>”); (ii) possess and maintains all licenses, exemptions, certificates, approvals, consent, clearances, authorizations, permits, and registration, including any supplements or amendments thereto, required under the Regulatory Laws for the conduct of its business (“</w:t>
      </w:r>
      <w:r>
        <w:rPr>
          <w:rFonts w:ascii="Times New Roman" w:hAnsi="Times New Roman"/>
          <w:b/>
          <w:sz w:val="20"/>
        </w:rPr>
        <w:t>Regulatory Authorizations</w:t>
      </w:r>
      <w:r>
        <w:rPr>
          <w:rFonts w:ascii="Times New Roman" w:hAnsi="Times New Roman"/>
          <w:sz w:val="20"/>
        </w:rPr>
        <w:t>”), each of which is valid and in full force and effect; (iii) has not received any U.S. Food and Drug Administration (“</w:t>
      </w:r>
      <w:r>
        <w:rPr>
          <w:rFonts w:ascii="Times New Roman" w:hAnsi="Times New Roman"/>
          <w:b/>
          <w:sz w:val="20"/>
        </w:rPr>
        <w:t>FDA</w:t>
      </w:r>
      <w:r>
        <w:rPr>
          <w:rFonts w:ascii="Times New Roman" w:hAnsi="Times New Roman"/>
          <w:sz w:val="20"/>
        </w:rPr>
        <w:t>”) Form 483, notice of adverse finding, warning letter, untitled letter or other written communication or notice from FDA or foreign, state and local governmental or regulatory authorities (collectively, the “</w:t>
      </w:r>
      <w:r>
        <w:rPr>
          <w:rFonts w:ascii="Times New Roman" w:hAnsi="Times New Roman"/>
          <w:b/>
          <w:sz w:val="20"/>
        </w:rPr>
        <w:t>Regulatory Authorities</w:t>
      </w:r>
      <w:r>
        <w:rPr>
          <w:rFonts w:ascii="Times New Roman" w:hAnsi="Times New Roman"/>
          <w:sz w:val="20"/>
        </w:rPr>
        <w:t xml:space="preserve">”), alleging or asserting non-compliance with any Regulatory Laws or Regulatory Authorizations; (iv) has not received any written notice of any claim, action, suit, proceeding, hearing, enforcement, investigation, arbitration or other action from any Regulatory Authority or any court or arbitrator or third party alleging or asserting non-compliance with any Regulatory Laws or Regulatory Authorizations, nor, to the knowledge of the Company, is any such claim, action, suit, proceeding, hearing, enforcement, investigation, arbitration or other action or communication being considered or threatened; (v) is not in violation of any material term of any Regulatory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Authorizations and has not received written notice that any Regulatory Authority or court or arbitrator or governmental authority has taken, is taking or intends to take action to materially limit, suspend, materially modify or revoke any Regulatory Authorizations nor, to the knowledge of the Company, is any such limitation, suspension, modification or revocation threatened; (vi) has filed, obtained, maintained or submitted all material reports, documents, forms, notices, applications, records, claims, submissions and supplements or amendments as required by any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(vii) is not a party to any corporate integrity agreements, deferred prosecution or non-prosecution agreements, monitoring agreements, consent decrees, settlement orders, or similar agreements with or imposed by any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(rr) (i) The preclinical studies and clinical trials conducted by or on behalf of or sponsored by the Company and its subsidiaries, or in which the Company or any of its subsidiaries has participated, including any studies and trials that are described in the Time of Sale Prospectus and the Prospectus, or the results of which are referred to in the Time of Sale Prospectus or the Prospectus (collectively, “</w:t>
      </w:r>
      <w:r>
        <w:rPr>
          <w:rFonts w:ascii="Times New Roman" w:hAnsi="Times New Roman"/>
          <w:b/>
          <w:sz w:val="20"/>
        </w:rPr>
        <w:t>Company Trials</w:t>
      </w:r>
      <w:r>
        <w:rPr>
          <w:rFonts w:ascii="Times New Roman" w:hAnsi="Times New Roman"/>
          <w:sz w:val="20"/>
        </w:rPr>
        <w:t xml:space="preserve">”), were and, if ongoing, are being, conducted in all material respects in accordance with the protocols, procedures, and controls established for each such Company Trial, standard medical and scientific research procedures, good clinical practice and good laboratory practice requirements, and with all Regulatory Authorizations and Regulatory Laws including, without limitation, the FDCA and its implementing regulations at 21 C.F.R. Parts 50, 54, 56, 58, and 312; (ii) the descriptions in the Time of Sale Prospectus and the Prospectus of the results of the Company Trials are accurate and complete in all material respects and fairly present the data derived from such Company Trials; (iii) to the knowledge of the Company there are no other studies or trials the results of which are inconsistent with or otherwise could reasonably be expected to discredit or call into question the results described or referred to in the Time of Sale Prospectus or the Prospectus; (iv) the Company has not received any notices, correspondence or other communication from any Regulatory Authority or any institutional review board or ethics committee, or other similar entity, requiring or threatening the termination, suspension, material modification or partial or full clinical hold of any Company Trial and, to the knowledge of the Company, there are no reasonable grounds for the same; (v) the Company possesses and maintains all Regulatory Authorizations required for the Company Trials; (vi) the Company has obtained (or caused to be obtained) informed consent by or on behalf of each human subject who has participated in a Company trial; and (vii) in using or disclosing patient information received by the Company in connection with a Company Trial, the Company has complied in all material respects with all applicable laws and regulatory rules or requirements, including, without limitation, HIPAA and the rules and regulations thereunder. Neither the Company, any of its officers, directors or employees, nor to the knowledge of the Company, any clinical investigators for the Company Trials is or has been excluded, suspended or debarred by Regulatory Authorities pursuant to 21 U.S.C. § 335a, 42 U.S.C. § 1320a-7 or similar laws, or made subject to any pending or, to the knowledge of the Company, threatened or contemplated action or engaged in any conduct that could reasonably be expected to result in such exclusion, suspension or debarment.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Neither the Company, any of its officers, directors or employees, nor to the knowledge of the Company, any clinical investigators for the Company Trials is or has been excluded, suspended or debarred by Regulatory Authorities pursuant to 21 U.S.C. § 335a, 42 U.S.C. § 1320a-7 or similar laws, or made subject to any pending or, to the knowledge of the Company, threatened or contemplated action or engaged in any conduct that could reasonably be expected to result in such exclusion, suspension or debarment. </w:t>
      </w:r>
    </w:p>
    <w:p>
      <w:pPr>
        <w:pStyle w:val="TextBody"/>
        <w:bidi w:val="0"/>
        <w:spacing w:before="240" w:after="0"/>
        <w:jc w:val="left"/>
        <w:rPr>
          <w:rFonts w:ascii="Times New Roman" w:hAnsi="Times New Roman"/>
          <w:sz w:val="20"/>
        </w:rPr>
      </w:pPr>
      <w:r>
        <w:rPr>
          <w:rFonts w:ascii="Times New Roman" w:hAnsi="Times New Roman"/>
          <w:sz w:val="20"/>
        </w:rPr>
        <w:t xml:space="preserve">(tt) To the knowledge of the Company, the manufacturing facilities and operations of its contract manufacturers and suppliers are operated in compliance in all material respects with all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(uu) None of the Company’s product candidates has received marketing approval from any Regulatory Authority. </w:t>
      </w:r>
    </w:p>
    <w:p>
      <w:pPr>
        <w:pStyle w:val="TextBody"/>
        <w:bidi w:val="0"/>
        <w:spacing w:before="240" w:after="0"/>
        <w:jc w:val="left"/>
        <w:rPr>
          <w:rFonts w:ascii="Times New Roman" w:hAnsi="Times New Roman"/>
          <w:sz w:val="20"/>
        </w:rPr>
      </w:pPr>
      <w:r>
        <w:rPr>
          <w:rFonts w:ascii="Times New Roman" w:hAnsi="Times New Roman"/>
          <w:sz w:val="20"/>
        </w:rPr>
        <w:t>(vv)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Firm Securities set forth in Schedule I hereto opposite its name. The purchase price per Firm Share to be paid by the several Underwriters to the Company shall be $15.0400 a share (the “</w:t>
      </w:r>
      <w:r>
        <w:rPr>
          <w:rFonts w:ascii="Times New Roman" w:hAnsi="Times New Roman"/>
          <w:b/>
          <w:sz w:val="20"/>
        </w:rPr>
        <w:t>Share Purchase Price</w:t>
      </w:r>
      <w:r>
        <w:rPr>
          <w:rFonts w:ascii="Times New Roman" w:hAnsi="Times New Roman"/>
          <w:sz w:val="20"/>
        </w:rPr>
        <w:t>”) and the purchase price per Pre-Funded Warrant to be paid by the several Underwriters to the Company will equal the Share Purchase Price minus $15.0399 (the “</w:t>
      </w:r>
      <w:r>
        <w:rPr>
          <w:rFonts w:ascii="Times New Roman" w:hAnsi="Times New Roman"/>
          <w:b/>
          <w:sz w:val="20"/>
        </w:rPr>
        <w:t>Warrant Purchase Price</w:t>
      </w:r>
      <w:r>
        <w:rPr>
          <w:rFonts w:ascii="Times New Roman" w:hAnsi="Times New Roman"/>
          <w:sz w:val="20"/>
        </w:rPr>
        <w:t>” and with the Share Purchase Price, each a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representations and warranties contained in this Agreement, and subject to its terms and conditions, the Company agrees to sell to the Underwriters the Additional Shares, and the Underwriters shall have the right to purchase, severally and not jointly, up to 1,406,250 Additional Shares at the Share Purchase Price, provided, however, that the amount paid by the Underwriters for any Additional Shares shall be reduced by an amount per share equal to any dividends declared by the Company and payable on the Firm Securities but not payable on such Additional Shares. The Representatives may exercise this right on behalf of the Underwriters in whole or 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Securities or later than ten business days after the date of such notice. Additional Shares may be purchased as provided in Section 4 hereof for the purpose of covering sales of shares in excess of the number of the Firm Securities.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Securities set forth in Schedule I hereto opposite the name of such Underwriter bears to the total number of Firm Securities.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Securities as soon after the Registration Statement and this Agreement have become effective as in the judgment of the Representatives is advisable. The Company is further advised by the Representatives that (i) the Shares are to be offered to the public initially at $16.00 a share (the “</w:t>
      </w:r>
      <w:r>
        <w:rPr>
          <w:rFonts w:ascii="Times New Roman" w:hAnsi="Times New Roman"/>
          <w:b/>
          <w:sz w:val="20"/>
        </w:rPr>
        <w:t>Public Offering Price</w:t>
      </w:r>
      <w:r>
        <w:rPr>
          <w:rFonts w:ascii="Times New Roman" w:hAnsi="Times New Roman"/>
          <w:sz w:val="20"/>
        </w:rPr>
        <w:t>”) and to certain dealers selected by the Representatives at a price that represents a concession not in excess of $0.5760 a share under the Public Offering Price and (ii) the Pre-Funded Warrants are to be offered to the public initially at $15.9999 per warrant (the “</w:t>
      </w:r>
      <w:r>
        <w:rPr>
          <w:rFonts w:ascii="Times New Roman" w:hAnsi="Times New Roman"/>
          <w:b/>
          <w:sz w:val="20"/>
        </w:rPr>
        <w:t>Public Offering Price per Warrant</w:t>
      </w:r>
      <w:r>
        <w:rPr>
          <w:rFonts w:ascii="Times New Roman" w:hAnsi="Times New Roman"/>
          <w:sz w:val="20"/>
        </w:rPr>
        <w:t xml:space="preserve">”) and to certain dealers selected by the Representatives at a price that represents a concession not in excess of $0.5760 per warrant under the Public Offering Price per Warrant. The Company acknowledges and agrees that the Underwriters may offer and sell the Securities to or through an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Payment and Delivery. </w:t>
      </w:r>
      <w:r>
        <w:rPr>
          <w:rFonts w:ascii="Times New Roman" w:hAnsi="Times New Roman"/>
          <w:sz w:val="20"/>
        </w:rPr>
        <w:t>Payment for the Firm Securities shall be made to the Company in Federal or other funds immediately available in New York City against delivery of such Firm Securities for the respective accounts of the several Underwriters at 10:00 a.m., New York City time, on February 26, 2026, or at such other time on the same or such other date, not later than March 5, 2026,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April 9, 2026, as shall be designated in writing by the Representatives.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Firm Securities and Additional Shares shall be registered in such names and in such denominations as the Representatives shall request not later than one full business day prior to the Closing Date or the applicable Option Closing Date, as the case may be. The Firm Securities and Additional Shares shall be delivered to the Representatives on the Closing Date or an Option Closing Date, as the case may be, for the respective accounts of the several Underwriters, with any transfer taxes payable in connection with the transfer of the Securities to the Underwriters duly paid, against payment of the Purchase Price therefor. The Pre-Funded Warrants will be made available for inspection by the Representatives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Representatives shall instruct purchasers of the Pre-Funded Warrants in the public offering to make payment for the Pre-Funded Warrants on the Closing Date to the Company by wire transfer in immediately available funds to the account specified by the Company at a purchase price of $15.9999 per Pre-Funded Warrant in lieu of payment by the Underwriters for such Warrants, and the Company shall deliver such Pre-Funded Warrants to such purchasers on the Closing Date in definitive form against such payment, in lieu of the Company’s obligation to deliver such Pre-Funded Warrants to the Underwriters; provided that the Company shall promptly (but in no event later than the Closing Date) pay $0.9600 per such Pre-Funded Warrant to the Underwriters by wire transfer in immediately available funds to the account specified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purchasers of the Pre-Funded Warrants in the public offering fail to make payment to the Company for all or part of the Pre-Funded Warrants on the Closing Date, the Representatives may elect, by written notice to the Company, to receive shares of Common Stock in lieu of all or a portion of such Pre-Funded Warrants to be delivered to the Underwriters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obligations of the Company to sell the Securities to the Underwriters and the several obligations of the Underwriters to purchase and pay for the Securities on the Closing Date are subject to the condition that the Registration Statement shall have become effective not later than 6:00 p.m. (New York City time)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several obligations of the Underwriters are subject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threatened by the Commission;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Securities on the terms and in the manner contemplated in the Time of Sale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240" w:after="0"/>
        <w:jc w:val="left"/>
        <w:rPr>
          <w:rFonts w:ascii="Times New Roman" w:hAnsi="Times New Roman"/>
          <w:sz w:val="20"/>
        </w:rPr>
      </w:pPr>
      <w:r>
        <w:rPr>
          <w:rFonts w:ascii="Times New Roman" w:hAnsi="Times New Roman"/>
          <w:sz w:val="20"/>
        </w:rPr>
        <w:t xml:space="preserve">(c) The Underwriters shall have received on the Closing Date an opinion and negative assurance letter of Goodwin Procter LLP, outside counsel for the Company, dated the Closing Date, in form and substance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(d) The Underwriters shall have received on the Closing Date an opinion of Haynes and Boone, LLP, intellectual property counsel for the Company, dated the Closing Date, in form and substance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(e) The Underwriters shall have received on the Closing Date an opinion and negative assurance letter of Ropes &amp; Gray LLP, counsel for the Underwriters, dated the Closing Date, in form and substance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(f) The Underwriters shall have received on the Closing Date an opinion of the Chief Legal Officer for the Company, dated the Closing Date, in form and substance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letters to be delivered pursuant to Sections 5(c) and 5(e) above, each of Goodwin Procter LLP and Ropes &amp; Gray LLP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of Goodwin Procter LLP and Haynes and Boone, LLP described in Section 5(c) and 5(d) above, respectively, shall be rendered to the Underwriters at the request of the Company and shall so state therein. </w:t>
      </w:r>
    </w:p>
    <w:p>
      <w:pPr>
        <w:pStyle w:val="TextBody"/>
        <w:bidi w:val="0"/>
        <w:spacing w:before="240" w:after="0"/>
        <w:jc w:val="left"/>
        <w:rPr>
          <w:rFonts w:ascii="Times New Roman" w:hAnsi="Times New Roman"/>
          <w:sz w:val="20"/>
        </w:rPr>
      </w:pPr>
      <w:r>
        <w:rPr>
          <w:rFonts w:ascii="Times New Roman" w:hAnsi="Times New Roman"/>
          <w:sz w:val="20"/>
        </w:rPr>
        <w:t xml:space="preserve">(g) The Underwriters shall have received, on each of the date hereof and the Closing Date, a letter dated the date hereof or the Closing Date, as the case may be, in form and substance satisfactory to the Underwriters, from KPMG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provided that the letter delivered on the Closing Date shall use a “cut-off date” not earlier than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“lock-up” agreements, each substantially in the form of Exhibit A hereto, between the Representatives and officers and directors of the Company relating to restrictions on sales and certain other dispositions of shares of Common Stock or certain other securities, delivered to the Representatives on or before the date hereof, shall be in full force and effect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The Chief Financial Officer of the Company shall have delivered to the Underwriters, on each of the date hereof and the Closing Date, a certificate in a form reasonably acceptable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(j) The Underwriters shall have received, on or prior to the date hereof and on the Closing Date, such other documents as the Representatives may reasonably request with respect to the good standing of the Company, the due authorization and issuance of the Securities to be sold on the Closing Date and other matters related to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 The several obligations of the Underwriters to purchase Additional Shares hereunder are subject to the delivery to the Representatives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 opinion and negative assurance letter of Goodwin Procter LLP, outside counsel for the Company, dated the Option Closing Date, relating to the Additional Shares to be purchased on such Option Closing Date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letter of Haynes and Boone, LLP, intellectual property counsel for the Company, dated the Option Closing Date, relating to the Additional Shares to be purchased on such Option Closing Date and otherwise to the same effect as the opinion required by Section 5(d) hereof; </w:t>
      </w:r>
    </w:p>
    <w:p>
      <w:pPr>
        <w:pStyle w:val="TextBody"/>
        <w:bidi w:val="0"/>
        <w:spacing w:before="120" w:after="0"/>
        <w:jc w:val="left"/>
        <w:rPr>
          <w:rFonts w:ascii="Times New Roman" w:hAnsi="Times New Roman"/>
          <w:sz w:val="20"/>
        </w:rPr>
      </w:pPr>
      <w:r>
        <w:rPr>
          <w:rFonts w:ascii="Times New Roman" w:hAnsi="Times New Roman"/>
          <w:sz w:val="20"/>
        </w:rPr>
        <w:t xml:space="preserve">(iv) an opinion and negative assurance letter of Ropes &amp; Gray LLP, counsel for the Underwriters, dated the Option Closing Date, relating to the Additional Shares to be purchased on such Option Closing Date and otherwise to the same effect as the opinion required by Section 5(e) hereof; </w:t>
      </w:r>
    </w:p>
    <w:p>
      <w:pPr>
        <w:pStyle w:val="TextBody"/>
        <w:bidi w:val="0"/>
        <w:spacing w:before="120" w:after="0"/>
        <w:jc w:val="left"/>
        <w:rPr>
          <w:rFonts w:ascii="Times New Roman" w:hAnsi="Times New Roman"/>
          <w:sz w:val="20"/>
        </w:rPr>
      </w:pPr>
      <w:r>
        <w:rPr>
          <w:rFonts w:ascii="Times New Roman" w:hAnsi="Times New Roman"/>
          <w:sz w:val="20"/>
        </w:rPr>
        <w:t xml:space="preserve">(v) an opinion of the Chief Legal Officer for the Company, dated the Option Closing Date, relating to the Additional Shares to be purchased on such Option Closing Date and otherwise to the same effect as the opinion required by Section 5(f)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letter dated the Option Closing Date, in form and substance satisfactory to the Underwriters, from KPMG LLP, independent public accountants, substantially in the same form and substance as the letter furnished to the Underwriters pursuant to Section 5(g)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dated the Option Closing Date, in form and substance satisfactory to the Underwriters, from the Chief Financial Officer of the Company, substantially in the same form and substance as the certificate furnished to the Underwriters pursuant to Section 5(i) hereof; and </w:t>
      </w:r>
    </w:p>
    <w:p>
      <w:pPr>
        <w:pStyle w:val="TextBody"/>
        <w:bidi w:val="0"/>
        <w:spacing w:before="120" w:after="0"/>
        <w:jc w:val="left"/>
        <w:rPr>
          <w:rFonts w:ascii="Times New Roman" w:hAnsi="Times New Roman"/>
          <w:sz w:val="20"/>
        </w:rPr>
      </w:pPr>
      <w:r>
        <w:rPr>
          <w:rFonts w:ascii="Times New Roman" w:hAnsi="Times New Roman"/>
          <w:sz w:val="20"/>
        </w:rPr>
        <w:t xml:space="preserve">(viii)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upon written request, without charge, six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To endeavor to qualify the Securities for offer and sale under the securities or Blue Sky laws of such jurisdictions as the Representatives shall reasonably request;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supplement,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(such fees and expenses of counsel in an aggregate amount not to exceed $10,000), (iv) all filing fees and the reasonable fees and disbursements of counsel to the Underwriters incurred in connection with the review and qualification of the offering of the Securities by the Financial Industry Regulatory Authority (such fees and expenses of counsel in an aggregate amount not to exceed $15,000), (v) all costs and expenses incident to listing the Shares and the Warrant Shares on the Nasdaq Global Market, (vi) the cost of printing certificates representing the Securities,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will promptly notify the Representatives if the Company ceases to be an Emerging Growth Company at any time prior to the later of (i) completion of the distribution of the Securities within the meaning of the Securities Act and (ii) completion of the Restricted Period (as defined in this Section 6). </w:t>
      </w:r>
    </w:p>
    <w:p>
      <w:pPr>
        <w:pStyle w:val="TextBody"/>
        <w:bidi w:val="0"/>
        <w:spacing w:before="24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(l) Upon written request,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shares of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shares of Common Stock. The restrictions contained in the foregoing sentence shall not apply to (A) the Securities to be sold hereunder and the issuance of Warrant Shares upon any exercise of the Pre-Funded Warrants to be sold hereunder, (B) the issuance by the Company of shares of Common Stock upon the exercise of an option or warrant or the conversion of a security outstanding on the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hereof as described in each of the Time of Sale Prospectus and Prospectus, (C) grants of options,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an employee benefit plan in effect on the date hereof and as described in the Time of Sale Prospectus, provided that the Company shall cause each recipient of such grant to execute and deliver to the Representatives an agreement substantially in the form of Exhibit A hereto if such recipient has not already delivered one, (D) the filing of a registration statement on Form S-8 to register Common Stock issuable pursuant to any employee benefit plans, qualified stock option plans or other employee compensation plans, described in the Time of Sale Prospectus, (E)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 commercial or other collaborative transaction or the acquisition or license of the business, property, technology or other assets of another individual or entity or the assumption of an employee benefit plan in connection with a merger or acquisition, other than for capital raising purposes; provided that the aggregate number of Common Stock or any securities convertible into, or exercisable or exchangeable for, Common Stock that the Company may issue or agree to issue pursuant to this clause (E) shall not exceed 3% of the total outstanding share capital of the Company immediately following the issuance of the Securities; and provided further, that the recipients of any such shares of Common Stock and securities issued pursuant to this clause (E) during the 60-day restricted period described above shall enter into an agreement substantially in the form of Exhibit A hereto on or prior to such issuance, or (F) facilitating the establishment of a trading plan on behalf of a shareholder,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supplement,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supplement, the Time of Sale Prospectus, any issuer free writing prospectus, road show, or the Prospectus or any amendment or supplement thereto, it being understood and agreed that the only such information furnished by any Underwriter consists of the Underwriter Information described as such in Section 8(b) hereof. The Company acknowledges that the only information furnished in writing by or on behalf of the several Underwriters for inclusion in the documents referred to in the foregoing indemnity shall be the third paragraph under the caption “Underwriting” in the Prospectus concerning the terms of the offering by the Underwriters and the twelfth paragraph under the caption “Underwriting” in the Prospectus concerning stabilization and overallotments by the Underwriters, excluding the provisions that (a) a short sale is covered if the short position is no greater than the number of shares available for purchase by the underwriters under the overallotment option, (b) a naked short position is more likely to be created if the underwriters are concerns that there may be downward pressure on the price of the Common Stock in the open market after pricing that could adversely affect investors who purchase in this offering and (c) these activities may raise or maintain the market price of the Common Stock above independent market levels or prevent or retard a decline in the market price of the Common Stock (collectively, the “</w:t>
      </w:r>
      <w:r>
        <w:rPr>
          <w:rFonts w:ascii="Times New Roman" w:hAnsi="Times New Roman"/>
          <w:b/>
          <w:sz w:val="20"/>
        </w:rPr>
        <w:t>Underwriter Information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in the table on the cover of the Prospectus, bear to the aggregate Public Offering Price of the Shares and Public Offering Price per Pre-Funded Warrant.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Securities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Firm Securities set forth opposite their respective names in Schedule I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for reason of a default by the Underwriters, the Company will reimburse the Underwriters or such Underwriters as have so terminated this Agreement with respect to themselves, severally, for all out-of-pocket expenses (including the fees reasonably incurred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supplement, the Time of Sale Prospectus, the Prospectus, the conduct of the offering, and the purchase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and their respective affiliates may have interests that differ from those of the Company, and (iv) none of the activities of the Underwriters in connection with the transactions contemplated herein constitutes a recommendation, legal, accounting, regulatory, tax or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 Electronic Signature</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Delivery of an executed Agreement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§§301-309), as amended from time to time, or other applicable law) of this Agreement shall have the same validity and effect as a signature affixed by the party’s hand.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 xml:space="preserve">Notices. </w:t>
      </w:r>
      <w:r>
        <w:rPr>
          <w:rFonts w:ascii="Times New Roman" w:hAnsi="Times New Roman"/>
          <w:sz w:val="20"/>
        </w:rPr>
        <w:t xml:space="preserve">All communications hereunder shall be in writing and effective only upon receipt and if to the Underwriters shall be delivered, mailed or sent to the Representatives at Morgan Stanley &amp; Co. LLC, 1585 Broadway, New York, New York 10036, Attention: Equity Syndicate Desk, with a copy to the Legal Department, to TD Securities (USA) LLC, 1 Vanderbilt Avenue, New York, New York 10017, Attention: Head of Equity Capital Markets, with a copy to CIBLegal@tdsecurities.com, and to BofA Securities, Inc., One Bryant Park, New York, New York 10036,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Email: dg.ecm_executionservices@bofa.com, Attention: Syndicate Department, with a copy to: Email: dg.ecm_legal@bofa.com, Attention: ECM Legal; and if to the Company shall be delivered, mailed or sent to 116 Huntington Avenue, Suite 703, Boston, Massachusetts 02116, Attention: Chief Legal Officer.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7"/>
        <w:gridCol w:w="60"/>
        <w:gridCol w:w="3635"/>
      </w:tblGrid>
      <w:tr>
        <w:trPr/>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BICARA THERAPEUTICS INC.</w:t>
            </w:r>
          </w:p>
        </w:tc>
      </w:tr>
      <w:tr>
        <w:trPr>
          <w:trHeight w:val="240" w:hRule="atLeast"/>
        </w:trPr>
        <w:tc>
          <w:tcPr>
            <w:tcW w:w="387"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5" w:type="dxa"/>
            <w:tcBorders>
              <w:bottom w:val="single" w:sz="2" w:space="0" w:color="000000"/>
            </w:tcBorders>
            <w:tcMar>
              <w:bottom w:w="28" w:type="dxa"/>
            </w:tcMar>
          </w:tcPr>
          <w:p>
            <w:pPr>
              <w:pStyle w:val="TableContents"/>
              <w:bidi w:val="0"/>
              <w:spacing w:before="0" w:after="283"/>
              <w:jc w:val="left"/>
              <w:rPr/>
            </w:pPr>
            <w:r>
              <w:rPr/>
              <w:t>/s/ Claire Mazumdar</w:t>
            </w:r>
          </w:p>
        </w:tc>
      </w:tr>
      <w:tr>
        <w:trPr/>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 Claire Mazumdar</w:t>
            </w:r>
          </w:p>
        </w:tc>
      </w:tr>
      <w:tr>
        <w:trPr/>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BofA Securities,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Acting severally on behalf of themselves and the several Underwriters named in Schedule I hereto.</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Chris Rigoli</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 Chris Rigoli</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TD Securities (USA)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Brian Hagerty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 Brian Hagerty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BofA Securities,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Aamir Mecklai</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 Aamir Mecklai</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427"/>
        <w:gridCol w:w="98"/>
        <w:gridCol w:w="1615"/>
        <w:gridCol w:w="60"/>
        <w:gridCol w:w="427"/>
        <w:gridCol w:w="132"/>
        <w:gridCol w:w="2198"/>
        <w:gridCol w:w="65"/>
      </w:tblGrid>
      <w:tr>
        <w:trPr/>
        <w:tc>
          <w:tcPr>
            <w:tcW w:w="5183"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427" w:type="dxa"/>
            <w:tcBorders/>
            <w:vAlign w:val="bottom"/>
          </w:tcPr>
          <w:p>
            <w:pPr>
              <w:pStyle w:val="TableContents"/>
              <w:bidi w:val="0"/>
              <w:spacing w:before="0" w:after="283"/>
              <w:jc w:val="left"/>
              <w:rPr/>
            </w:pPr>
            <w:r>
              <w:rPr/>
              <w:t>  </w:t>
            </w:r>
          </w:p>
        </w:tc>
        <w:tc>
          <w:tcPr>
            <w:tcW w:w="1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w:t>
              <w:br/>
              <w:t>Shares to Be</w:t>
              <w:br/>
              <w:t>Purchased</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 Warrants</w:t>
              <w:br/>
              <w:t>to Be Purchased</w:t>
            </w:r>
          </w:p>
        </w:tc>
        <w:tc>
          <w:tcPr>
            <w:tcW w:w="65" w:type="dxa"/>
            <w:tcBorders/>
            <w:vAlign w:val="bottom"/>
          </w:tcPr>
          <w:p>
            <w:pPr>
              <w:pStyle w:val="TableContents"/>
              <w:bidi w:val="0"/>
              <w:spacing w:before="0" w:after="283"/>
              <w:jc w:val="left"/>
              <w:rPr/>
            </w:pPr>
            <w:r>
              <w:rPr/>
              <w:t> </w:t>
            </w:r>
          </w:p>
        </w:tc>
      </w:tr>
      <w:tr>
        <w:trPr/>
        <w:tc>
          <w:tcPr>
            <w:tcW w:w="5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2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2,152,500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660,000</w:t>
            </w:r>
          </w:p>
        </w:tc>
        <w:tc>
          <w:tcPr>
            <w:tcW w:w="65" w:type="dxa"/>
            <w:tcBorders/>
            <w:shd w:fill="CCEEFF" w:val="clear"/>
            <w:vAlign w:val="bottom"/>
          </w:tcPr>
          <w:p>
            <w:pPr>
              <w:pStyle w:val="TableContents"/>
              <w:bidi w:val="0"/>
              <w:spacing w:before="0" w:after="283"/>
              <w:jc w:val="left"/>
              <w:rPr/>
            </w:pPr>
            <w:r>
              <w:rPr/>
              <w:t> </w:t>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2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1,435,000</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440,000</w:t>
            </w:r>
          </w:p>
        </w:tc>
        <w:tc>
          <w:tcPr>
            <w:tcW w:w="65" w:type="dxa"/>
            <w:tcBorders/>
            <w:vAlign w:val="bottom"/>
          </w:tcPr>
          <w:p>
            <w:pPr>
              <w:pStyle w:val="TableContents"/>
              <w:bidi w:val="0"/>
              <w:spacing w:before="0" w:after="283"/>
              <w:jc w:val="left"/>
              <w:rPr/>
            </w:pPr>
            <w:r>
              <w:rPr/>
              <w:t> </w:t>
            </w:r>
          </w:p>
        </w:tc>
      </w:tr>
      <w:tr>
        <w:trPr/>
        <w:tc>
          <w:tcPr>
            <w:tcW w:w="5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2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1,435,000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440,000</w:t>
            </w:r>
          </w:p>
        </w:tc>
        <w:tc>
          <w:tcPr>
            <w:tcW w:w="65" w:type="dxa"/>
            <w:tcBorders/>
            <w:shd w:fill="CCEEFF" w:val="clear"/>
            <w:vAlign w:val="bottom"/>
          </w:tcPr>
          <w:p>
            <w:pPr>
              <w:pStyle w:val="TableContents"/>
              <w:bidi w:val="0"/>
              <w:spacing w:before="0" w:after="283"/>
              <w:jc w:val="left"/>
              <w:rPr/>
            </w:pPr>
            <w:r>
              <w:rPr/>
              <w:t> </w:t>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42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1,076,250</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330,000</w:t>
            </w:r>
          </w:p>
        </w:tc>
        <w:tc>
          <w:tcPr>
            <w:tcW w:w="65" w:type="dxa"/>
            <w:tcBorders/>
            <w:vAlign w:val="bottom"/>
          </w:tcPr>
          <w:p>
            <w:pPr>
              <w:pStyle w:val="TableContents"/>
              <w:bidi w:val="0"/>
              <w:spacing w:before="0" w:after="283"/>
              <w:jc w:val="left"/>
              <w:rPr/>
            </w:pPr>
            <w:r>
              <w:rPr/>
              <w:t> </w:t>
            </w:r>
          </w:p>
        </w:tc>
      </w:tr>
      <w:tr>
        <w:trPr/>
        <w:tc>
          <w:tcPr>
            <w:tcW w:w="51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42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1,076,250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330,000</w:t>
            </w:r>
          </w:p>
        </w:tc>
        <w:tc>
          <w:tcPr>
            <w:tcW w:w="65" w:type="dxa"/>
            <w:tcBorders/>
            <w:shd w:fill="CCEEFF" w:val="clear"/>
            <w:vAlign w:val="bottom"/>
          </w:tcPr>
          <w:p>
            <w:pPr>
              <w:pStyle w:val="TableContents"/>
              <w:bidi w:val="0"/>
              <w:spacing w:before="0" w:after="283"/>
              <w:jc w:val="left"/>
              <w:rPr/>
            </w:pPr>
            <w:r>
              <w:rPr/>
              <w:t> </w:t>
            </w:r>
          </w:p>
        </w:tc>
      </w:tr>
      <w:tr>
        <w:trPr/>
        <w:tc>
          <w:tcPr>
            <w:tcW w:w="5183"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21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7,175,000</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2,200,000</w:t>
            </w:r>
          </w:p>
        </w:tc>
        <w:tc>
          <w:tcPr>
            <w:tcW w:w="65" w:type="dxa"/>
            <w:tcBorders/>
            <w:vAlign w:val="bottom"/>
          </w:tcPr>
          <w:p>
            <w:pPr>
              <w:pStyle w:val="TableContents"/>
              <w:bidi w:val="0"/>
              <w:spacing w:before="0" w:after="283"/>
              <w:jc w:val="left"/>
              <w:rPr/>
            </w:pPr>
            <w:r>
              <w:rPr/>
              <w:t> </w:t>
            </w:r>
          </w:p>
        </w:tc>
      </w:tr>
      <w:tr>
        <w:trPr/>
        <w:tc>
          <w:tcPr>
            <w:tcW w:w="5183"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6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double" w:sz="6" w:space="1" w:color="000000"/>
              </w:pBdr>
              <w:bidi w:val="0"/>
              <w:spacing w:before="0" w:after="0"/>
              <w:jc w:val="left"/>
              <w:rPr/>
            </w:pPr>
            <w:r>
              <w:rPr/>
              <w:t> </w:t>
            </w:r>
          </w:p>
        </w:tc>
        <w:tc>
          <w:tcPr>
            <w:tcW w:w="219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Preliminary Prospectus Supplement filed on 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Free Writing Prospectus Dated 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Orally communicated pricing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per share for the Shares is $16.00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per Pre-Funded Warrant is $15.9999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Firm Shares is 7,175,000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Pre-Funded Warrants is 2,200,000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Additional Shares is 1,406,250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Date is February 26,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pPr>
      <w:r>
        <w:rPr/>
        <w:t> </w:t>
      </w: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pPr>
      <w:r>
        <w:rPr/>
        <w:t> </w:t>
      </w:r>
      <w:r>
        <w:rPr>
          <w:rFonts w:ascii="Times New Roman" w:hAnsi="Times New Roman"/>
          <w:sz w:val="20"/>
        </w:rPr>
        <w:t xml:space="preserve">1585 Broadway </w:t>
      </w:r>
    </w:p>
    <w:p>
      <w:pPr>
        <w:pStyle w:val="TextBody"/>
        <w:bidi w:val="0"/>
        <w:spacing w:before="0" w:after="0"/>
        <w:jc w:val="left"/>
        <w:rPr/>
      </w:pPr>
      <w:r>
        <w:rPr/>
        <w:t> </w:t>
      </w: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pPr>
      <w:r>
        <w:rPr/>
        <w:t> </w:t>
      </w:r>
      <w:r>
        <w:rPr>
          <w:rFonts w:ascii="Times New Roman" w:hAnsi="Times New Roman"/>
          <w:sz w:val="20"/>
        </w:rPr>
        <w:t xml:space="preserve">1 Vanderbilt Avenue </w:t>
      </w:r>
    </w:p>
    <w:p>
      <w:pPr>
        <w:pStyle w:val="TextBody"/>
        <w:bidi w:val="0"/>
        <w:spacing w:before="0" w:after="0"/>
        <w:jc w:val="left"/>
        <w:rPr/>
      </w:pPr>
      <w:r>
        <w:rPr/>
        <w:t> </w:t>
      </w: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pPr>
      <w:r>
        <w:rPr/>
        <w:t> </w:t>
      </w:r>
      <w:r>
        <w:rPr>
          <w:rFonts w:ascii="Times New Roman" w:hAnsi="Times New Roman"/>
          <w:sz w:val="20"/>
        </w:rPr>
        <w:t xml:space="preserve">One Bryant Park </w:t>
      </w:r>
    </w:p>
    <w:p>
      <w:pPr>
        <w:pStyle w:val="TextBody"/>
        <w:bidi w:val="0"/>
        <w:spacing w:before="0" w:after="0"/>
        <w:jc w:val="left"/>
        <w:rPr/>
      </w:pPr>
      <w:r>
        <w:rPr/>
        <w:t> </w:t>
      </w: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TD Securities (USA) LLC and BofA Securities, Inc.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with Bicara Therapeutics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including the Representatives (the “</w:t>
      </w:r>
      <w:r>
        <w:rPr>
          <w:rFonts w:ascii="Times New Roman" w:hAnsi="Times New Roman"/>
          <w:b/>
          <w:sz w:val="20"/>
        </w:rPr>
        <w:t>Underwriters</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common stock, par value $0.0001 per share of the Company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60 days after the date of the final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w:t>
      </w:r>
    </w:p>
    <w:p>
      <w:pPr>
        <w:pStyle w:val="TextBody"/>
        <w:bidi w:val="0"/>
        <w:spacing w:before="240" w:after="0"/>
        <w:jc w:val="left"/>
        <w:rPr>
          <w:rFonts w:ascii="Times New Roman" w:hAnsi="Times New Roman"/>
          <w:sz w:val="20"/>
        </w:rPr>
      </w:pPr>
      <w:r>
        <w:rPr>
          <w:rFonts w:ascii="Times New Roman" w:hAnsi="Times New Roman"/>
          <w:sz w:val="20"/>
        </w:rPr>
        <w:t>(a) transactions relating to shares of Common Stock or other securities acquired (i) from the Underwriters in the Public Offering or (ii) in open market transactions after the completion of the Public Offering, provided that no filing under Section 16(a) of the Exchange Act shall be required or shall be voluntarily made during the Restricted Period in connection with subsequent sales of Common Stock or other securities acquired in the Public Offering or such open market or other transactions (other than (1) Schedule 13 filings filed with the Securities and Exchange Commission (“</w:t>
      </w:r>
      <w:r>
        <w:rPr>
          <w:rFonts w:ascii="Times New Roman" w:hAnsi="Times New Roman"/>
          <w:b/>
          <w:sz w:val="20"/>
        </w:rPr>
        <w:t>SEC</w:t>
      </w:r>
      <w:r>
        <w:rPr>
          <w:rFonts w:ascii="Times New Roman" w:hAnsi="Times New Roman"/>
          <w:sz w:val="20"/>
        </w:rPr>
        <w:t xml:space="preserve">”), and (2) any Form 4 or Form 5 required to be filed under the Exchange Act if the undersigned is subject to Section 16 reporting with respect to the Company under the Exchange Act and indicating by footnote disclosure or otherwise the nature of the transaction and that such securities were acquired from the Underwriters in the Public Offering or in open market transactions after completion of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shares of Common Stock or any security convertible into or exercisable or exchangeable for Common Stock (i) as a bona fide gift or to a charitable organization or educational institution, (ii) to any immediate family member of the undersigned or any trust for the direct or indirect benefit of the undersigned or an immediate family member of the undersigned, or if the undersigned is a trust, to a grantor, trustee or beneficiary of the trust (including such beneficiary’s estate) of the undersigned or (iii) by will, other testamentary document or intestate succession to the legal representative, heir, beneficiary or a member of the immediate family of the undersigned upon the death of the undersigned; provided that in the case of any transfer pursuant to this clause (b), (i) such transfer shall not involve a disposition for value, (ii) each donee or transferee shall sign and deliver a lock-up agreement substantially in the form of this agreement and (iii) no filing under Section 16(a) of the Exchange Act reporting a reduction in beneficial ownership of shares of Common Stock shall be required or shall be voluntarily made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(c) if the undersigned is an entity, transfers, dispositions or distributions of shares of Common Stock or any security convertible into or exercisable or exchangeable for Common Stock (i) to another corporation, partnership, limited liability company, investment fund trust or other business entity that is a subsidiary or an affiliate (within the meaning set forth in Rule 405 under the Securities Act of 1933, as amended, and including the subsidiaries of the undersigned) of the undersigned, (ii) to any investment fund or other entity controlling, controlled by, managing or managed by or under common control or management with the undersigned (including, for the avoidance of doubt, where the undersigned is a partnership, to its general partner or a successor partnership or fund, or any other funds managed by such partnership) or (iii) to its stockholders, limited partners, general partners, members, beneficiaries or other equityholders or to the estate of any such stockholders, limited partners, general partners, members, beneficiaries or equityholders, provided that, in the case of any transfer or distribution pursuant to this clause (c), (i) each transferee or distributee shall sign and deliver a lock-up agreement substantially in the form of this agreement, (ii) no filing under the Exchange Act reporting a reduction in beneficial ownership of shares of Common Stock shall be required or shall be voluntarily made during the Restricted Period and (iii) such transfer shall not involve a disposition for value;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transfers or dispositions of shares of Common Stock or any security convertible into or exercisable or exchangeable for Common Stock to the Company (i) pursuant to any contractual arrangement in effect on the date of this agreement and described in the registration statement on Form S-3 (No. 333-290707) (together with all amendments thereto filed with the Commission on or before the date of this letter the “</w:t>
      </w:r>
      <w:r>
        <w:rPr>
          <w:rFonts w:ascii="Times New Roman" w:hAnsi="Times New Roman"/>
          <w:b/>
          <w:sz w:val="20"/>
        </w:rPr>
        <w:t>Registration Statement</w:t>
      </w:r>
      <w:r>
        <w:rPr>
          <w:rFonts w:ascii="Times New Roman" w:hAnsi="Times New Roman"/>
          <w:sz w:val="20"/>
        </w:rPr>
        <w:t>”), the base prospectus included in the Registration Statement, as supplemented by the preliminary prospectus supplement filed by the Company pursuant to Rule 424(b)(5) of the Securities Act on or about February 24, 2026, together with the documents and pricing information set forth in Schedule II of the Underwriting Agreement (the “</w:t>
      </w:r>
      <w:r>
        <w:rPr>
          <w:rFonts w:ascii="Times New Roman" w:hAnsi="Times New Roman"/>
          <w:b/>
          <w:sz w:val="20"/>
        </w:rPr>
        <w:t>Time of Sale Prospectus</w:t>
      </w:r>
      <w:r>
        <w:rPr>
          <w:rFonts w:ascii="Times New Roman" w:hAnsi="Times New Roman"/>
          <w:sz w:val="20"/>
        </w:rPr>
        <w:t xml:space="preserve">”) as well as in the Prospectus that provides for the repurchase of the undersigned’s Common Stock or other securities by the Company or (ii) in connection with the termination of the undersigned’s employment with or service to the Company, provided that no public disclosure or filing under Section 16(a) of the Exchange Act shall be required or shall be voluntarily made during the Restricted Period in connection with any such transfers or dispositions (other than (1) Schedule 13 filings filed with the SEC, and (2) any Form 4 or Form 5 required to be filed under the Exchange Act if the undersigned is subject to Section 16 reporting with respect to the Company under the Exchange Act and indicating by footnote disclosure or otherwise the nature of the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(e) transfers or dispositions of Common Stock or any security convertible into or exercisable or exchangeable for Common Stock to the Company in connection with the conversion of any convertible security into, or the exercise of any option or warrant for, Common Stock (including by way of “net” or “cashless” exercise solely to cover withholding tax obligations in connection with such exercise and any transfer to the Company for the payment of taxes as a result of such exercise) in each case pursuant to any equity incentive plan of the Company described in the Time of Sale Prospectus and the Prospectus and to the extent permitted by the instruments representing such options outstanding as of the date of the Prospectus, provided that any remaining shares of Common Stock or other securities received upon such vesting, settlement or exercise shall be subject to the terms of this agreement; and provided further that no public disclosure or filing shall be made voluntarily during the Restricted Period and to the extent a filing under Section 16(a) of the Exchange Act is required during the Restricted Period as a result of transfers made pursuant to this clause (d), it shall clearly indicate that (i) the filing relates to the circumstances described in this clause (d), including that the securities remain subject to the terms of this agreement and (ii) no securities were sold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(f) (i) transfers of Common Stock or any security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Act) of more than 50% of the total voting power of the voting stock of the Company and (ii) entry into any lock-up, voting or similar agreement pursuant to which the undersigned may agree to transfer, sell, tender or otherwise dispose of Common Stock or such other securities in connection with a transaction described in (i) above; provided that in the event that such change of control transaction is not completed, the Common Stock (or any security convertible into or exercisable or exchangeable for Common Stock) owned by the undersigned shall remain subject to the restrictions contained in this agreement; </w:t>
      </w:r>
    </w:p>
    <w:p>
      <w:pPr>
        <w:pStyle w:val="TextBody"/>
        <w:bidi w:val="0"/>
        <w:spacing w:before="240" w:after="0"/>
        <w:jc w:val="left"/>
        <w:rPr>
          <w:rFonts w:ascii="Times New Roman" w:hAnsi="Times New Roman"/>
          <w:sz w:val="20"/>
        </w:rPr>
      </w:pPr>
      <w:r>
        <w:rPr>
          <w:rFonts w:ascii="Times New Roman" w:hAnsi="Times New Roman"/>
          <w:sz w:val="20"/>
        </w:rPr>
        <w:t>(g) sales or transfers of shares of Common Stock pursuant to a trading plan adopted prior to the date hereof pursuant to Rule 10b5-1 (a “</w:t>
      </w:r>
      <w:r>
        <w:rPr>
          <w:rFonts w:ascii="Times New Roman" w:hAnsi="Times New Roman"/>
          <w:b/>
          <w:sz w:val="20"/>
        </w:rPr>
        <w:t>10b5-1 Trading Plan</w:t>
      </w:r>
      <w:r>
        <w:rPr>
          <w:rFonts w:ascii="Times New Roman" w:hAnsi="Times New Roman"/>
          <w:sz w:val="20"/>
        </w:rPr>
        <w:t xml:space="preserve">”) under the Exchange Act, and disclosed to the Representatives prior to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(h) facilitating the establishment or modification of a trading plan on behalf of a shareholder, officer or director of the Company pursuant to a 10b5-1 Trading Plan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“immediate family member” shall mean any relationship by blood,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this agreement shall immediately terminate and the undersigned shall be released from all obligations under this agreement if (i) the Company notifies the Representatives, on the one hand, or the Representatives notify the Company, on the other hand, in writing, prior to the execution of the Underwriting Agreement, that it has determined not to proceed with the Public Offering, (ii) the Company files an application with the SEC to withdraw the registration statement related to the Public Offering, (iii) the Underwriting Agreement is executed but is then terminated (other than the provisions thereof which survive termination) prior to payment for and delivery of the Shares to be sold thereunder, or (iv) March 6, 2026, in the event (x) the Underwriting Agreement has not been executed by such date or (y) the Public Offering has not occurred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without regard to the conflict of laws principles thereof.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(Address)</w:t>
            </w:r>
          </w:p>
        </w:tc>
      </w:tr>
    </w:tbl>
    <w:p>
      <w:pPr>
        <w:pStyle w:val="TextBody"/>
        <w:bidi w:val="0"/>
        <w:spacing w:before="0" w:after="0"/>
        <w:jc w:val="right"/>
        <w:rPr>
          <w:rFonts w:ascii="Times New Roman" w:hAnsi="Times New Roman"/>
          <w:b/>
          <w:sz w:val="20"/>
        </w:rPr>
      </w:pPr>
      <w:bookmarkStart w:id="4" w:name="d938194dex41.htm"/>
      <w:bookmarkStart w:id="5" w:name="ksd938194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BICARA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4"/>
        <w:gridCol w:w="123"/>
        <w:gridCol w:w="4918"/>
      </w:tblGrid>
      <w:tr>
        <w:trPr/>
        <w:tc>
          <w:tcPr>
            <w:tcW w:w="51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right"/>
              <w:rPr/>
            </w:pPr>
            <w:r>
              <w:rPr/>
              <w:t>Number of Shares: [__] (subject to adjustment)</w:t>
            </w:r>
          </w:p>
        </w:tc>
      </w:tr>
      <w:tr>
        <w:trPr/>
        <w:tc>
          <w:tcPr>
            <w:tcW w:w="5164" w:type="dxa"/>
            <w:tcBorders/>
          </w:tcPr>
          <w:p>
            <w:pPr>
              <w:pStyle w:val="TableContents"/>
              <w:bidi w:val="0"/>
              <w:spacing w:before="0" w:after="283"/>
              <w:jc w:val="left"/>
              <w:rPr/>
            </w:pPr>
            <w:r>
              <w:rPr/>
              <w:t>Warrant No. [__]</w:t>
            </w:r>
          </w:p>
        </w:tc>
        <w:tc>
          <w:tcPr>
            <w:tcW w:w="123"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right"/>
              <w:rPr/>
            </w:pPr>
            <w:r>
              <w:rPr/>
              <w:t>Original Issue Date: February [26], 2026</w:t>
            </w:r>
          </w:p>
        </w:tc>
      </w:tr>
    </w:tbl>
    <w:p>
      <w:pPr>
        <w:pStyle w:val="TextBody"/>
        <w:bidi w:val="0"/>
        <w:spacing w:before="240" w:after="0"/>
        <w:jc w:val="left"/>
        <w:rPr>
          <w:rFonts w:ascii="Times New Roman" w:hAnsi="Times New Roman"/>
          <w:sz w:val="20"/>
        </w:rPr>
      </w:pPr>
      <w:r>
        <w:rPr>
          <w:rFonts w:ascii="Times New Roman" w:hAnsi="Times New Roman"/>
          <w:sz w:val="20"/>
        </w:rPr>
        <w:t>Bicara Therapeutics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[____]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[__] shares of common stock, $0.0001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$0.0001 per share (as adjusted from time to time as provided in Section 9 herein, the “</w:t>
      </w:r>
      <w:r>
        <w:rPr>
          <w:rFonts w:ascii="Times New Roman" w:hAnsi="Times New Roman"/>
          <w:b/>
          <w:sz w:val="20"/>
        </w:rPr>
        <w:t>Exercise Price</w:t>
      </w:r>
      <w:r>
        <w:rPr>
          <w:rFonts w:ascii="Times New Roman" w:hAnsi="Times New Roman"/>
          <w:sz w:val="20"/>
        </w:rPr>
        <w:t>”) upon surrender of this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Marketable Securities</w:t>
      </w:r>
      <w:r>
        <w:rPr>
          <w:rFonts w:ascii="Times New Roman" w:hAnsi="Times New Roman"/>
          <w:sz w:val="20"/>
        </w:rPr>
        <w:t xml:space="preserve">” means securities meeting all of the following requirements: </w:t>
      </w:r>
    </w:p>
    <w:p>
      <w:pPr>
        <w:pStyle w:val="TextBody"/>
        <w:bidi w:val="0"/>
        <w:spacing w:before="240" w:after="0"/>
        <w:jc w:val="left"/>
        <w:rPr>
          <w:rFonts w:ascii="Times New Roman" w:hAnsi="Times New Roman"/>
          <w:sz w:val="20"/>
        </w:rPr>
      </w:pPr>
      <w:r>
        <w:rPr>
          <w:rFonts w:ascii="Times New Roman" w:hAnsi="Times New Roman"/>
          <w:sz w:val="20"/>
        </w:rPr>
        <w:t>(i) the issuer thereof is then subject to the reporting requirements of Section 13 or Section 15(d) of the Securities Exchange Act of 1934, as amended (the “</w:t>
      </w:r>
      <w:r>
        <w:rPr>
          <w:rFonts w:ascii="Times New Roman" w:hAnsi="Times New Roman"/>
          <w:b/>
          <w:sz w:val="20"/>
        </w:rPr>
        <w:t>Exchange Act</w:t>
      </w:r>
      <w:r>
        <w:rPr>
          <w:rFonts w:ascii="Times New Roman" w:hAnsi="Times New Roman"/>
          <w:sz w:val="20"/>
        </w:rPr>
        <w:t xml:space="preserve">”),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Statement</w:t>
      </w:r>
      <w:r>
        <w:rPr>
          <w:rFonts w:ascii="Times New Roman" w:hAnsi="Times New Roman"/>
          <w:sz w:val="20"/>
        </w:rPr>
        <w:t xml:space="preserve">” means the Company’s Registration Statement on Form S-3 (File No. 333-290707), as amended, that became effective on November 26, 2025.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the manner set forth in Section 10 at any time and from time to time on or after the Original Issue Date. </w:t>
      </w:r>
    </w:p>
    <w:p>
      <w:pPr>
        <w:pStyle w:val="TextBody"/>
        <w:bidi w:val="0"/>
        <w:spacing w:before="240" w:after="0"/>
        <w:jc w:val="left"/>
        <w:rPr>
          <w:rFonts w:ascii="Times New Roman" w:hAnsi="Times New Roman"/>
          <w:sz w:val="20"/>
        </w:rPr>
      </w:pPr>
      <w:r>
        <w:rPr>
          <w:rFonts w:ascii="Times New Roman" w:hAnsi="Times New Roman"/>
          <w:sz w:val="20"/>
        </w:rPr>
        <w:t>(b) The Holder may exercise this Warrant by delivering to the Company an exercise notice, in the form attached as Schedule 1 hereto (the “</w:t>
      </w:r>
      <w:r>
        <w:rPr>
          <w:rFonts w:ascii="Times New Roman" w:hAnsi="Times New Roman"/>
          <w:b/>
          <w:sz w:val="20"/>
        </w:rPr>
        <w:t>Exercise Notice</w:t>
      </w:r>
      <w:r>
        <w:rPr>
          <w:rFonts w:ascii="Times New Roman" w:hAnsi="Times New Roman"/>
          <w:sz w:val="20"/>
        </w:rPr>
        <w:t>”), completed and duly signed. The date on which such exercise notice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Agent Commission system, or if the Transfer Agent is not participating in the Fast Automated Securities Transfer Program or if the certificates are required to bear a legend regarding restriction on transferability, issue and dispatch by overnight courier to the address as specified in the Exercise Notice, a certificate,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third (3rd)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credit the Holder’s DTC account for such number of Warrant Shares to which the Holder is entitled, and if after such third (3rd)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three (3) Trading Days after the Holder’s request promptly honor its obligation to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(including Common Stock), or (iv) cash or any other asset (in each case, a “</w:t>
      </w:r>
      <w:r>
        <w:rPr>
          <w:rFonts w:ascii="Times New Roman" w:hAnsi="Times New Roman"/>
          <w:b/>
          <w:sz w:val="20"/>
        </w:rPr>
        <w:t>Distribution</w:t>
      </w:r>
      <w:r>
        <w:rPr>
          <w:rFonts w:ascii="Times New Roman" w:hAnsi="Times New Roman"/>
          <w:sz w:val="20"/>
        </w:rPr>
        <w:t xml:space="preserve">”), other than a reclassification as to which Section 9(c)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Common Stock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the delivery to such Holder of such portion would not result in the Holder exceeding the ownership limitation set forth in Section 11(a)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If, at any time while this Warrant is outstanding (i) the Company effects any merger or consolidation of the Company with or into another Person, in which the Company is not the surviving entity,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(in the case of clause (iii)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above, assuming it had tendered, and the offeror had accepted, such Warrant Shares)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Price</w:t>
      </w:r>
      <w:r>
        <w:rPr>
          <w:rFonts w:ascii="Times New Roman" w:hAnsi="Times New Roman"/>
          <w:sz w:val="20"/>
        </w:rPr>
        <w:t xml:space="preserve">.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one-hundredth of one cent or the nearest whole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9(c), other than a Fundamental Transaction under clause (iii) of Section 9(c), then, except if such notice and the contents thereof shall be deemed to constitute material non-public information, the Company shall deliver to the Holder a notice of such Fundamental Transaction at least ten (10) days prior to the date such Fundamental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Cashless Exercise</w:t>
      </w:r>
      <w:r>
        <w:rPr>
          <w:rFonts w:ascii="Times New Roman" w:hAnsi="Times New Roman"/>
          <w:sz w:val="20"/>
        </w:rPr>
        <w:t xml:space="preserve">. Notwithstanding anything contained herein to the contrary, this Warrant may only be exercised through a “cashless exercise.” Upon exercise,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per share of Common Stock as of the </w:t>
      </w:r>
    </w:p>
    <w:p>
      <w:pPr>
        <w:pStyle w:val="TextBody"/>
        <w:bidi w:val="0"/>
        <w:spacing w:before="120" w:after="0"/>
        <w:jc w:val="left"/>
        <w:rPr>
          <w:rFonts w:ascii="Times New Roman" w:hAnsi="Times New Roman"/>
          <w:sz w:val="20"/>
        </w:rPr>
      </w:pPr>
      <w:r>
        <w:rPr>
          <w:rFonts w:ascii="Times New Roman" w:hAnsi="Times New Roman"/>
          <w:sz w:val="20"/>
        </w:rPr>
        <w:t xml:space="preserve">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if, upon giving effect to such exercise, (i) immediately prior to the exercise, the Holder, its Affiliates and any other Persons whose beneficial ownership of Common Stock would be aggregated with the Holder’s for purposes of Section 13(d) of the Exchange Act, beneficially owns an aggregate number of shares of Common Stock greater than [9.99%] (the “</w:t>
      </w:r>
      <w:r>
        <w:rPr>
          <w:rFonts w:ascii="Times New Roman" w:hAnsi="Times New Roman"/>
          <w:b/>
          <w:sz w:val="20"/>
        </w:rPr>
        <w:t>Maximum Percentage</w:t>
      </w:r>
      <w:r>
        <w:rPr>
          <w:rFonts w:ascii="Times New Roman" w:hAnsi="Times New Roman"/>
          <w:sz w:val="20"/>
        </w:rPr>
        <w:t xml:space="preserve">”) of the total number of issued and outstanding shares of Common Stock of the Company without taking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account any Warrant Shares, or (ii) immediately following exercise, the combined voting power of the securities of the Company beneficially owned by the Holder and its Affiliates and any other Persons whose beneficial ownership of Common Stock would be aggregated with the Holder’s for purposes of Section 13(d) of the Exchange Act would be greater than [9.99%] of the combined voting power of all of the securities of the Company then outstanding following such exercise without taking into account any Warrant Shares. Any portion of an exercise that would result in the issuance of shares in excess of the Maximum Percentage shall be treated as null and void ab initio.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9(c)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Bicara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116 Huntington Avenue, Suite 703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 (617)-468-4219 </w:t>
      </w:r>
    </w:p>
    <w:p>
      <w:pPr>
        <w:pStyle w:val="TextBody"/>
        <w:bidi w:val="0"/>
        <w:spacing w:before="0" w:after="0"/>
        <w:jc w:val="left"/>
        <w:rPr>
          <w:rFonts w:ascii="Times New Roman" w:hAnsi="Times New Roman"/>
          <w:sz w:val="20"/>
        </w:rPr>
      </w:pPr>
      <w:r>
        <w:rPr>
          <w:rFonts w:ascii="Times New Roman" w:hAnsi="Times New Roman"/>
          <w:sz w:val="20"/>
        </w:rPr>
        <w:t xml:space="preserve">Email: ivan.hyep@bicara.com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its address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Warrant Agent</w:t>
      </w:r>
      <w:r>
        <w:rPr>
          <w:rFonts w:ascii="Times New Roman" w:hAnsi="Times New Roman"/>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Miscellaneous.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BICARA THERAPEUTICS INC.</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pBdr>
                <w:bottom w:val="single" w:sz="2" w:space="1" w:color="000000"/>
              </w:pBdr>
              <w:bidi w:val="0"/>
              <w:spacing w:before="0" w:after="20"/>
              <w:jc w:val="left"/>
              <w:rPr/>
            </w:pPr>
            <w:r>
              <w:rPr/>
              <w:t> </w:t>
            </w:r>
          </w:p>
        </w:tc>
      </w:tr>
      <w:tr>
        <w:trPr/>
        <w:tc>
          <w:tcPr>
            <w:tcW w:w="69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Ivan Hyep</w:t>
            </w:r>
          </w:p>
        </w:tc>
      </w:tr>
      <w:tr>
        <w:trPr/>
        <w:tc>
          <w:tcPr>
            <w:tcW w:w="69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SCHEDULE 1</w:t>
      </w:r>
    </w:p>
    <w:p>
      <w:pPr>
        <w:pStyle w:val="TextBody"/>
        <w:bidi w:val="0"/>
        <w:spacing w:before="240" w:after="0"/>
        <w:jc w:val="center"/>
        <w:rPr>
          <w:rFonts w:ascii="Times New Roman" w:hAnsi="Times New Roman"/>
          <w:b/>
          <w:sz w:val="20"/>
        </w:rPr>
      </w:pPr>
      <w:r>
        <w:rPr>
          <w:rFonts w:ascii="Times New Roman" w:hAnsi="Times New Roman"/>
          <w:b/>
          <w:sz w:val="20"/>
        </w:rPr>
        <w:t>FORM OF EXERCISE NOTICE</w:t>
      </w:r>
    </w:p>
    <w:p>
      <w:pPr>
        <w:pStyle w:val="TextBody"/>
        <w:bidi w:val="0"/>
        <w:spacing w:before="240" w:after="0"/>
        <w:jc w:val="left"/>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___ (the “Warrant”) issued by Bicara Therapeutics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___________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a “Cashless Exercise” under Section 10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(4) Pursuant to this Exercise Notice, the Company shall deliver to the Holder Warrant Shares determined in accordance with the terms of the Warrant. The Warrant Shares shall be delivered to the following DWAC Account Number: </w:t>
      </w:r>
    </w:p>
    <w:p>
      <w:pPr>
        <w:pStyle w:val="TextBody"/>
        <w:bidi w:val="0"/>
        <w:spacing w:before="240" w:after="0"/>
        <w:jc w:val="left"/>
        <w:rPr>
          <w:rFonts w:ascii="Times New Roman" w:hAnsi="Times New Roman"/>
          <w:sz w:val="20"/>
        </w:rPr>
      </w:pPr>
      <w:r>
        <w:rPr>
          <w:rFonts w:ascii="Times New Roman" w:hAnsi="Times New Roman"/>
          <w:sz w:val="20"/>
        </w:rPr>
        <w:t xml:space="preserve">(5)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Title: </w:t>
      </w:r>
    </w:p>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938194dex51.htm"/>
      <w:bookmarkStart w:id="7" w:name="ksd938194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6"/>
        <w:gridCol w:w="105"/>
        <w:gridCol w:w="4309"/>
        <w:gridCol w:w="105"/>
        <w:gridCol w:w="2630"/>
      </w:tblGrid>
      <w:tr>
        <w:trPr/>
        <w:tc>
          <w:tcPr>
            <w:tcW w:w="305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30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056" w:type="dxa"/>
            <w:tcBorders/>
            <w:vAlign w:val="center"/>
          </w:tcPr>
          <w:p>
            <w:pPr>
              <w:pStyle w:val="TableContents"/>
              <w:bidi w:val="0"/>
              <w:spacing w:before="0" w:after="20"/>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430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30"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100 Northern Avenue</w:t>
            </w:r>
          </w:p>
          <w:p>
            <w:pPr>
              <w:pStyle w:val="TableContents"/>
              <w:bidi w:val="0"/>
              <w:spacing w:before="0" w:after="0"/>
              <w:jc w:val="left"/>
              <w:rPr>
                <w:rFonts w:ascii="Times New Roman" w:hAnsi="Times New Roman"/>
                <w:sz w:val="20"/>
              </w:rPr>
            </w:pPr>
            <w:r>
              <w:rPr>
                <w:rFonts w:ascii="Times New Roman" w:hAnsi="Times New Roman"/>
                <w:sz w:val="20"/>
              </w:rPr>
              <w:t>Boston, MA 02210</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+1 617 570 100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February 26, 2026 </w:t>
      </w:r>
    </w:p>
    <w:p>
      <w:pPr>
        <w:pStyle w:val="TextBody"/>
        <w:bidi w:val="0"/>
        <w:spacing w:before="240" w:after="0"/>
        <w:jc w:val="left"/>
        <w:rPr>
          <w:rFonts w:ascii="Times New Roman" w:hAnsi="Times New Roman"/>
          <w:sz w:val="20"/>
        </w:rPr>
      </w:pPr>
      <w:r>
        <w:rPr>
          <w:rFonts w:ascii="Times New Roman" w:hAnsi="Times New Roman"/>
          <w:sz w:val="20"/>
        </w:rPr>
        <w:t xml:space="preserve">Bicara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116 Huntington Avenue, Suite 703 </w:t>
      </w:r>
    </w:p>
    <w:p>
      <w:pPr>
        <w:pStyle w:val="TextBody"/>
        <w:bidi w:val="0"/>
        <w:spacing w:before="0" w:after="0"/>
        <w:jc w:val="left"/>
        <w:rPr>
          <w:rFonts w:ascii="Times New Roman" w:hAnsi="Times New Roman"/>
          <w:sz w:val="20"/>
        </w:rPr>
      </w:pPr>
      <w:r>
        <w:rPr>
          <w:rFonts w:ascii="Times New Roman" w:hAnsi="Times New Roman"/>
          <w:sz w:val="20"/>
        </w:rPr>
        <w:t>Boston, MA 02116</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(File No. 333-290707) (as amended or supplemented, the “Registration Statement”) filed on October 3, 2025 with the Securities and Exchange Commission (the “Commission”) pursuant to the Securities Act of 1933, as amended (the “Securities Act”), relating to the registration of the offer by Bicara Therapeutics Inc., a Delaware corporation (the “Company”), of up to $400,000,000 of any combination of securities of the types specified therein. The Registration Statement was declared effective by the Commission on November 26, 2025. Reference is made to our opinion letter dated October 3, 2025 and included as Exhibit 5.1 to the Registration Statement. We are delivering this supplemental opinion letter in connection with the prospectus supplement (the “Prospectus Supplement”) filed on February 26, 2026 by the Company with the Commission pursuant to Rule 424 under the Securities Act. The Prospectus Supplement relates to the offering by the Company of up to (i) 8,581,250 shares (the “Common Shares”) of the Company’s common stock, par value $0.0001 per share (the “Common Stock”) and (ii) pre-funded warrants (the “Pre-Funded Warrants”) to purchase up to 2,200,000 shares of Common Stock (such shares issuable upon exercise of the Pre-Funded Warrants, the “Pre-Funded Warrant Shares” and together with the Common Shares, the “Shares”) covered by the Registration Statement. The Shares include an over-allotment option granted to the underwriters of the offering to purchase 1,406,250 Common Shares. The Common Shares and Pre-Funded Warrants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limited to the Delaware General Corporation Law and with respect to opinion paragraph 2,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have been duly authorized and, when delivered and paid for in accordance with the terms of the Underwriting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Pre-Funded Warrants have been duly authorized and executed by the Company and, when delivered and paid for in accordance with the terms of the Underwriting Agreement, will be valid and binding obligations of the Company.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Bicara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February 26,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Pre-Funded Warrant Shares were issued today in accordance with the terms of the Pre-Funded Warrants, they would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This opinion letter and the opinions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Company’s Current Report on Form 8-K dated February 26, 2026 and to the references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29095</Words>
  <Characters>153126</Characters>
  <CharactersWithSpaces>182296</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