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BICARA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Red Tree GP,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3,170,509.00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3,170,509.00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3,170,509.00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Red Tree Venture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3,170,509.00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3,170,509.00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3,170,509.00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4.8 %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Heath Lukatch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3,170,509.00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3,170,509.00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3,170,509.00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BICARA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299"/>
        <w:spacing w:after="0"/>
        <w:rPr>
          <w:sz w:val="20"/>
          <w:szCs w:val="20"/>
          <w:color w:val="auto"/>
        </w:rPr>
      </w:pPr>
      <w:r>
        <w:rPr>
          <w:rFonts w:ascii="Times New Roman" w:cs="Times New Roman" w:eastAsia="Times New Roman" w:hAnsi="Times New Roman"/>
          <w:sz w:val="22"/>
          <w:szCs w:val="22"/>
          <w:color w:val="auto"/>
        </w:rPr>
        <w:t>116 Huntington Avenue, Suite 703, Boston, MA, 02116.</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8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of the persons filing this report (collectively, the "Reporting Persons") are: Red Tree GP, LLC (Red Tree GP I") Red Tree Venture Fund, L.P. ("Red Tree Fud I") Heath Lukatch, PhD ("Lukatch") The Reporting Persons expressly disclaim status as a "group" for purposes of this Schedule 13G/A.</w:t>
      </w:r>
    </w:p>
    <w:p>
      <w:pPr>
        <w:sectPr>
          <w:pgSz w:w="11900" w:h="16838" w:orient="portrait"/>
          <w:cols w:equalWidth="0" w:num="1">
            <w:col w:w="11120"/>
          </w:cols>
          <w:pgMar w:left="360" w:top="112" w:right="419" w:bottom="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2055 Woodside Road, Suite 270 Redwood City, CA 94061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740"/>
        <w:spacing w:after="0" w:line="309" w:lineRule="auto"/>
        <w:rPr>
          <w:sz w:val="20"/>
          <w:szCs w:val="20"/>
          <w:color w:val="auto"/>
        </w:rPr>
      </w:pPr>
      <w:r>
        <w:rPr>
          <w:rFonts w:ascii="Times New Roman" w:cs="Times New Roman" w:eastAsia="Times New Roman" w:hAnsi="Times New Roman"/>
          <w:sz w:val="22"/>
          <w:szCs w:val="22"/>
          <w:color w:val="auto"/>
        </w:rPr>
        <w:t>Red Tree GP I Delaware Red Tree Fund I Delaware Lukatch United States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112" w:right="419" w:bottom="0"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Row 9 of each Reporting Person's cover page to this Schedule 13G/A sets forth the aggregate number of shares of</w:t>
      </w:r>
    </w:p>
    <w:p>
      <w:pPr>
        <w:spacing w:after="0" w:line="14" w:lineRule="exact"/>
        <w:rPr>
          <w:sz w:val="20"/>
          <w:szCs w:val="20"/>
          <w:color w:val="auto"/>
        </w:rPr>
      </w:pPr>
    </w:p>
    <w:p>
      <w:pPr>
        <w:ind w:left="920" w:right="220" w:hanging="912"/>
        <w:spacing w:after="0" w:line="196"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common stock of the Issuer beneficially owned by such Reporting Person as of March 31, 2026 and is incorporated by reference. The Reporting Persons' ownership of the Issuer's securities consists of 3,170,509 shares of common stock held directly by Red Tree Fund I. Red Tree GP I is the general partner of Red Tree Fund I and Lukatch is the managing director of Red Tree GP I. Each of Red Tree GP I and Lukatch possesses power to direct the voting and disposition of the securities held by Red Tree Fund I.</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Row 11 of each Reporting Person's cover page to this Schedule 13G sets forth the percentages of the shares of</w:t>
      </w:r>
    </w:p>
    <w:p>
      <w:pPr>
        <w:spacing w:after="0" w:line="14" w:lineRule="exact"/>
        <w:rPr>
          <w:rFonts w:ascii="Times New Roman" w:cs="Times New Roman" w:eastAsia="Times New Roman" w:hAnsi="Times New Roman"/>
          <w:sz w:val="43"/>
          <w:szCs w:val="43"/>
          <w:color w:val="auto"/>
          <w:vertAlign w:val="subscript"/>
        </w:rPr>
      </w:pPr>
    </w:p>
    <w:p>
      <w:pPr>
        <w:ind w:left="920" w:right="180" w:hanging="912"/>
        <w:spacing w:after="0" w:line="23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of the Issuer beneficially owned by such Reporting Person as of March 31, 2026 and is incorporated by reference. The percentage set forth in each row 11 is based upon 65,467,187 shares of the Issuer's common stock outstanding as of March 24, 2026, as reported in the Issuer's Annual Report on Form 10-K filed with the Securities and Exchange Commission (the "SEC") on March 30, 2026. %</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Row 5 of each Reporting Person's cover page to this Schedule 13G/A sets forth the sole power to vote or to direct the vote of securities of the Issuer beneficially owned by such Reporting Person as of March 31, 2026 and is incorporated by reference.</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160"/>
        <w:spacing w:after="0" w:line="244" w:lineRule="auto"/>
        <w:rPr>
          <w:sz w:val="20"/>
          <w:szCs w:val="20"/>
          <w:color w:val="auto"/>
        </w:rPr>
      </w:pPr>
      <w:r>
        <w:rPr>
          <w:rFonts w:ascii="Times New Roman" w:cs="Times New Roman" w:eastAsia="Times New Roman" w:hAnsi="Times New Roman"/>
          <w:sz w:val="22"/>
          <w:szCs w:val="22"/>
          <w:color w:val="auto"/>
        </w:rPr>
        <w:t>Row 6 of each Reporting Person's cover page to this Schedule 13G/A sets forth the shared power to vote or to direct the vote of securities of the Issuer beneficially owned by such Reporting Person as of March 31, 2026 and is incorporated by reference.</w:t>
      </w:r>
    </w:p>
    <w:p>
      <w:pPr>
        <w:sectPr>
          <w:pgSz w:w="11900" w:h="16838" w:orient="portrait"/>
          <w:cols w:equalWidth="0" w:num="1">
            <w:col w:w="11120"/>
          </w:cols>
          <w:pgMar w:left="360" w:top="112" w:right="41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4"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Row 7 of each Reporting Person's cover page to this Schedule 13G/A sets forth the sole power to dispose or to direct the disposition of securities of the Issuer beneficially owned by such Reporting Person as of March 31, 2026 and is incorporated by reference.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2"/>
          <w:szCs w:val="22"/>
          <w:color w:val="auto"/>
        </w:rPr>
        <w:t>Row 8 of each Reporting Person's cover page to this Schedule 13G/A sets forth the shared power to dispose or to direct the disposition of securities of the Issuer beneficially owned by such Reporting Person as of March 31, 2026 and is incorporated by reference.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Red Tree GP, LLC</w:t>
      </w:r>
    </w:p>
    <w:p>
      <w:pPr>
        <w:spacing w:after="0" w:line="152" w:lineRule="exact"/>
        <w:rPr>
          <w:sz w:val="20"/>
          <w:szCs w:val="20"/>
          <w:color w:val="auto"/>
        </w:rPr>
      </w:pPr>
    </w:p>
    <w:p>
      <w:pPr>
        <w:ind w:left="5120"/>
        <w:spacing w:after="0"/>
        <w:tabs>
          <w:tab w:leader="none" w:pos="6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Heath Lukatch, PhD</w:t>
      </w:r>
    </w:p>
    <w:p>
      <w:pPr>
        <w:spacing w:after="0" w:line="4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Name/Title: By Heath Lukatch, PhD, Managing Director</w:t>
      </w:r>
    </w:p>
    <w:p>
      <w:pPr>
        <w:spacing w:after="0" w:line="44" w:lineRule="exact"/>
        <w:rPr>
          <w:sz w:val="20"/>
          <w:szCs w:val="20"/>
          <w:color w:val="auto"/>
        </w:rPr>
      </w:pPr>
    </w:p>
    <w:p>
      <w:pPr>
        <w:ind w:left="5120"/>
        <w:spacing w:after="0"/>
        <w:tabs>
          <w:tab w:leader="none" w:pos="6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Red Tree Venture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Heath Lukatch, PhD</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Red Tree GP, LLC, its General Partner, By</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Heath Lukatch, PhD, Managing Director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Heath Lukatch</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Heath Lukatch, PhD</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Heath Lukatch, PhD</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Exhibit 99.1 Joint Filing Agreement (incorporated by reference to Exhibit A to the Reporting Persons' Schedule 13G filed with the SEC on September 26, 2024).</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2026-05-08T20:24:36Z</dcterms:created>
  <dcterms:modified xsi:type="dcterms:W3CDTF">2026-05-08T20:24:36Z</dcterms:modified>
</cp:coreProperties>
</file>