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11, 2024.</w:t>
      </w:r>
    </w:p>
    <w:p>
      <w:pPr>
        <w:spacing w:after="0" w:line="5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333-281722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BICARA THERAPEUTICS INC.</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5" w:lineRule="exact"/>
        <w:rPr>
          <w:sz w:val="24"/>
          <w:szCs w:val="24"/>
          <w:color w:val="auto"/>
        </w:rPr>
      </w:pPr>
    </w:p>
    <w:tbl>
      <w:tblPr>
        <w:tblLayout w:type="fixed"/>
        <w:tblInd w:w="1160" w:type="dxa"/>
        <w:tblCellMar>
          <w:top w:w="0" w:type="dxa"/>
          <w:left w:w="0" w:type="dxa"/>
          <w:bottom w:w="0" w:type="dxa"/>
          <w:right w:w="0" w:type="dxa"/>
        </w:tblCellMar>
      </w:tblPr>
      <w:tr>
        <w:trPr>
          <w:trHeight w:val="198"/>
        </w:trPr>
        <w:tc>
          <w:tcPr>
            <w:tcW w:w="2720" w:type="dxa"/>
            <w:vAlign w:val="bottom"/>
          </w:tcPr>
          <w:p>
            <w:pPr>
              <w:jc w:val="center"/>
              <w:ind w:right="99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2834</w:t>
            </w:r>
          </w:p>
        </w:tc>
        <w:tc>
          <w:tcPr>
            <w:tcW w:w="2360" w:type="dxa"/>
            <w:vAlign w:val="bottom"/>
          </w:tcPr>
          <w:p>
            <w:pPr>
              <w:jc w:val="center"/>
              <w:ind w:left="1031"/>
              <w:spacing w:after="0"/>
              <w:rPr>
                <w:sz w:val="20"/>
                <w:szCs w:val="20"/>
                <w:color w:val="auto"/>
              </w:rPr>
            </w:pPr>
            <w:r>
              <w:rPr>
                <w:rFonts w:ascii="Times New Roman" w:cs="Times New Roman" w:eastAsia="Times New Roman" w:hAnsi="Times New Roman"/>
                <w:sz w:val="16"/>
                <w:szCs w:val="16"/>
                <w:b w:val="1"/>
                <w:bCs w:val="1"/>
                <w:color w:val="auto"/>
              </w:rPr>
              <w:t>85-2903745</w:t>
            </w:r>
          </w:p>
        </w:tc>
      </w:tr>
      <w:tr>
        <w:trPr>
          <w:trHeight w:val="135"/>
        </w:trPr>
        <w:tc>
          <w:tcPr>
            <w:tcW w:w="2720" w:type="dxa"/>
            <w:vAlign w:val="bottom"/>
          </w:tcPr>
          <w:p>
            <w:pPr>
              <w:jc w:val="center"/>
              <w:ind w:right="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360" w:type="dxa"/>
            <w:vAlign w:val="bottom"/>
          </w:tcPr>
          <w:p>
            <w:pPr>
              <w:jc w:val="center"/>
              <w:ind w:left="103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101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360" w:type="dxa"/>
            <w:vAlign w:val="bottom"/>
          </w:tcPr>
          <w:p>
            <w:pPr>
              <w:jc w:val="center"/>
              <w:ind w:left="1031"/>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116 Huntington Avenue, Suite 703</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Boston, MA 02116</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617-468-4219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Claire Mazumdar</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116 Huntington Avenue, Suite 703</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Boston, MA 02116</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617-468-4219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3" w:lineRule="exact"/>
        <w:rPr>
          <w:sz w:val="24"/>
          <w:szCs w:val="24"/>
          <w:color w:val="auto"/>
        </w:rPr>
      </w:pPr>
    </w:p>
    <w:tbl>
      <w:tblPr>
        <w:tblLayout w:type="fixed"/>
        <w:tblInd w:w="104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38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480" w:type="dxa"/>
            <w:vAlign w:val="bottom"/>
          </w:tcPr>
          <w:p>
            <w:pPr>
              <w:spacing w:after="0"/>
              <w:rPr>
                <w:sz w:val="16"/>
                <w:szCs w:val="16"/>
                <w:color w:val="auto"/>
              </w:rPr>
            </w:pPr>
          </w:p>
        </w:tc>
      </w:tr>
      <w:tr>
        <w:trPr>
          <w:trHeight w:val="174"/>
        </w:trPr>
        <w:tc>
          <w:tcPr>
            <w:tcW w:w="278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Kingsley L. Taft, Esq.</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Lara Meisner</w:t>
            </w:r>
          </w:p>
        </w:tc>
        <w:tc>
          <w:tcPr>
            <w:tcW w:w="24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Thomas J. Danielski, Esq.</w:t>
            </w:r>
          </w:p>
        </w:tc>
      </w:tr>
      <w:tr>
        <w:trPr>
          <w:trHeight w:val="148"/>
        </w:trPr>
        <w:tc>
          <w:tcPr>
            <w:tcW w:w="2780" w:type="dxa"/>
            <w:vAlign w:val="bottom"/>
          </w:tcPr>
          <w:p>
            <w:pPr>
              <w:jc w:val="center"/>
              <w:ind w:right="828"/>
              <w:spacing w:after="0" w:line="149" w:lineRule="exact"/>
              <w:rPr>
                <w:sz w:val="20"/>
                <w:szCs w:val="20"/>
                <w:color w:val="auto"/>
              </w:rPr>
            </w:pPr>
            <w:r>
              <w:rPr>
                <w:rFonts w:ascii="Times New Roman" w:cs="Times New Roman" w:eastAsia="Times New Roman" w:hAnsi="Times New Roman"/>
                <w:sz w:val="14"/>
                <w:szCs w:val="14"/>
                <w:b w:val="1"/>
                <w:bCs w:val="1"/>
                <w:color w:val="auto"/>
              </w:rPr>
              <w:t>Gabriela Morales-Rivera, Esq.</w:t>
            </w:r>
          </w:p>
        </w:tc>
        <w:tc>
          <w:tcPr>
            <w:tcW w:w="3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Legal Officer and</w:t>
            </w:r>
          </w:p>
        </w:tc>
        <w:tc>
          <w:tcPr>
            <w:tcW w:w="248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Raymond Grant, Esq.</w:t>
            </w:r>
          </w:p>
        </w:tc>
      </w:tr>
      <w:tr>
        <w:trPr>
          <w:trHeight w:val="149"/>
        </w:trPr>
        <w:tc>
          <w:tcPr>
            <w:tcW w:w="2780" w:type="dxa"/>
            <w:vAlign w:val="bottom"/>
          </w:tcPr>
          <w:p>
            <w:pPr>
              <w:jc w:val="center"/>
              <w:ind w:right="808"/>
              <w:spacing w:after="0" w:line="149" w:lineRule="exact"/>
              <w:rPr>
                <w:sz w:val="20"/>
                <w:szCs w:val="20"/>
                <w:color w:val="auto"/>
              </w:rPr>
            </w:pPr>
            <w:r>
              <w:rPr>
                <w:rFonts w:ascii="Times New Roman" w:cs="Times New Roman" w:eastAsia="Times New Roman" w:hAnsi="Times New Roman"/>
                <w:sz w:val="14"/>
                <w:szCs w:val="14"/>
                <w:b w:val="1"/>
                <w:bCs w:val="1"/>
                <w:color w:val="auto"/>
              </w:rPr>
              <w:t>Amarilice Young, Esq.</w:t>
            </w:r>
          </w:p>
        </w:tc>
        <w:tc>
          <w:tcPr>
            <w:tcW w:w="3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Secretary</w:t>
            </w:r>
          </w:p>
        </w:tc>
        <w:tc>
          <w:tcPr>
            <w:tcW w:w="248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Ropes &amp; Gray LLP</w:t>
            </w:r>
          </w:p>
        </w:tc>
      </w:tr>
      <w:tr>
        <w:trPr>
          <w:trHeight w:val="148"/>
        </w:trPr>
        <w:tc>
          <w:tcPr>
            <w:tcW w:w="2780" w:type="dxa"/>
            <w:vAlign w:val="bottom"/>
          </w:tcPr>
          <w:p>
            <w:pPr>
              <w:jc w:val="center"/>
              <w:ind w:right="808"/>
              <w:spacing w:after="0" w:line="149" w:lineRule="exact"/>
              <w:rPr>
                <w:sz w:val="20"/>
                <w:szCs w:val="20"/>
                <w:color w:val="auto"/>
              </w:rPr>
            </w:pPr>
            <w:r>
              <w:rPr>
                <w:rFonts w:ascii="Times New Roman" w:cs="Times New Roman" w:eastAsia="Times New Roman" w:hAnsi="Times New Roman"/>
                <w:sz w:val="14"/>
                <w:szCs w:val="14"/>
                <w:b w:val="1"/>
                <w:bCs w:val="1"/>
                <w:color w:val="auto"/>
              </w:rPr>
              <w:t>Goodwin Procter LLP</w:t>
            </w:r>
          </w:p>
        </w:tc>
        <w:tc>
          <w:tcPr>
            <w:tcW w:w="3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Bicara Therapeutics Inc.</w:t>
            </w:r>
          </w:p>
        </w:tc>
        <w:tc>
          <w:tcPr>
            <w:tcW w:w="248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800 Boylston Street</w:t>
            </w:r>
          </w:p>
        </w:tc>
      </w:tr>
      <w:tr>
        <w:trPr>
          <w:trHeight w:val="148"/>
        </w:trPr>
        <w:tc>
          <w:tcPr>
            <w:tcW w:w="2780" w:type="dxa"/>
            <w:vAlign w:val="bottom"/>
          </w:tcPr>
          <w:p>
            <w:pPr>
              <w:jc w:val="center"/>
              <w:ind w:right="828"/>
              <w:spacing w:after="0" w:line="149" w:lineRule="exact"/>
              <w:rPr>
                <w:sz w:val="20"/>
                <w:szCs w:val="20"/>
                <w:color w:val="auto"/>
              </w:rPr>
            </w:pPr>
            <w:r>
              <w:rPr>
                <w:rFonts w:ascii="Times New Roman" w:cs="Times New Roman" w:eastAsia="Times New Roman" w:hAnsi="Times New Roman"/>
                <w:sz w:val="14"/>
                <w:szCs w:val="14"/>
                <w:b w:val="1"/>
                <w:bCs w:val="1"/>
                <w:color w:val="auto"/>
              </w:rPr>
              <w:t>100 Northern Avenue</w:t>
            </w:r>
          </w:p>
        </w:tc>
        <w:tc>
          <w:tcPr>
            <w:tcW w:w="3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116 Huntington Avenue, Suite 703</w:t>
            </w:r>
          </w:p>
        </w:tc>
        <w:tc>
          <w:tcPr>
            <w:tcW w:w="248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Boston, MA 02199</w:t>
            </w:r>
          </w:p>
        </w:tc>
      </w:tr>
      <w:tr>
        <w:trPr>
          <w:trHeight w:val="149"/>
        </w:trPr>
        <w:tc>
          <w:tcPr>
            <w:tcW w:w="2780" w:type="dxa"/>
            <w:vAlign w:val="bottom"/>
          </w:tcPr>
          <w:p>
            <w:pPr>
              <w:jc w:val="center"/>
              <w:ind w:right="808"/>
              <w:spacing w:after="0" w:line="149" w:lineRule="exact"/>
              <w:rPr>
                <w:sz w:val="20"/>
                <w:szCs w:val="20"/>
                <w:color w:val="auto"/>
              </w:rPr>
            </w:pPr>
            <w:r>
              <w:rPr>
                <w:rFonts w:ascii="Times New Roman" w:cs="Times New Roman" w:eastAsia="Times New Roman" w:hAnsi="Times New Roman"/>
                <w:sz w:val="14"/>
                <w:szCs w:val="14"/>
                <w:b w:val="1"/>
                <w:bCs w:val="1"/>
                <w:color w:val="auto"/>
              </w:rPr>
              <w:t>Boston, MA 02210</w:t>
            </w:r>
          </w:p>
        </w:tc>
        <w:tc>
          <w:tcPr>
            <w:tcW w:w="3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Boston, MA 02116</w:t>
            </w:r>
          </w:p>
        </w:tc>
        <w:tc>
          <w:tcPr>
            <w:tcW w:w="248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(617) 951-7000</w:t>
            </w:r>
          </w:p>
        </w:tc>
      </w:tr>
      <w:tr>
        <w:trPr>
          <w:trHeight w:val="190"/>
        </w:trPr>
        <w:tc>
          <w:tcPr>
            <w:tcW w:w="278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(617) 570-1000</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617-468-4219</w:t>
            </w:r>
          </w:p>
        </w:tc>
        <w:tc>
          <w:tcPr>
            <w:tcW w:w="2480" w:type="dxa"/>
            <w:vAlign w:val="bottom"/>
          </w:tcPr>
          <w:p>
            <w:pPr>
              <w:spacing w:after="0"/>
              <w:rPr>
                <w:sz w:val="16"/>
                <w:szCs w:val="16"/>
                <w:color w:val="auto"/>
              </w:rPr>
            </w:pPr>
          </w:p>
        </w:tc>
      </w:tr>
    </w:tbl>
    <w:p>
      <w:pPr>
        <w:spacing w:after="0" w:line="2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the effective date of this registration statement.</w:t>
      </w:r>
    </w:p>
    <w:p>
      <w:pPr>
        <w:spacing w:after="0" w:line="42"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92"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0" w:firstLine="4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41"/>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 w:lineRule="exact"/>
        <w:rPr>
          <w:sz w:val="24"/>
          <w:szCs w:val="24"/>
          <w:color w:val="auto"/>
        </w:rPr>
      </w:pPr>
    </w:p>
    <w:p>
      <w:pPr>
        <w:jc w:val="both"/>
        <w:ind w:left="120" w:right="22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159385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1"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state or jurisdiction where the offer or sale is not permitted.</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DE1A1E"/>
        </w:rPr>
        <w:t>SUBJECT TO COMPLETION, DATED SEPTEMBER 11, 2024</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DE1A1E"/>
        </w:rPr>
        <w:t>PRELIMINARY PROSPECTUS</w:t>
      </w: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i w:val="1"/>
          <w:iCs w:val="1"/>
          <w:color w:val="auto"/>
        </w:rPr>
        <w:t>14,705,882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182245</wp:posOffset>
            </wp:positionV>
            <wp:extent cx="2880360" cy="848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036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This is the initial public offering of shares of common stock of Bicara Therapeutics Inc.</w:t>
      </w:r>
    </w:p>
    <w:p>
      <w:pPr>
        <w:spacing w:after="0" w:line="225"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offering 14,705,882 shares of our common stock. Prior to this offering, there has been no public market for our common stock. We expect the initial public offering price to be between $16.00 and $18.00 per share. We have applied to list our common stock on The Nasdaq Global Market, or Nasdaq, under the symbol “BCAX.” We believe that upon the completion of this offering, we will meet the standards for listing on The Nasdaq Global Market, and the completion of this offering is contingent upon such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as defined under the U.S. federal securities laws and will be subject to reduced public company reporting requirements for this prospectus and future filings. See the section titled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left="120"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Investing in our common stock involves a high degree of risk. Please see the section titled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beginning on page 13 of this prospectus.</w:t>
      </w:r>
    </w:p>
    <w:p>
      <w:pPr>
        <w:spacing w:after="0" w:line="15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Initial public offering price</w:t>
            </w:r>
          </w:p>
        </w:tc>
        <w:tc>
          <w:tcPr>
            <w:tcW w:w="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1080" w:type="dxa"/>
            <w:vAlign w:val="bottom"/>
          </w:tcPr>
          <w:p>
            <w:pPr>
              <w:spacing w:after="0"/>
              <w:rPr>
                <w:sz w:val="15"/>
                <w:szCs w:val="15"/>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2"/>
                <w:szCs w:val="2"/>
                <w:i w:val="1"/>
                <w:iCs w:val="1"/>
                <w:color w:val="auto"/>
                <w:w w:val="97"/>
              </w:rPr>
              <w:t> </w:t>
            </w:r>
          </w:p>
        </w:tc>
        <w:tc>
          <w:tcPr>
            <w:tcW w:w="0" w:type="dxa"/>
            <w:vAlign w:val="bottom"/>
          </w:tcPr>
          <w:p>
            <w:pPr>
              <w:spacing w:after="0"/>
              <w:rPr>
                <w:sz w:val="1"/>
                <w:szCs w:val="1"/>
                <w:color w:val="auto"/>
              </w:rPr>
            </w:pPr>
          </w:p>
        </w:tc>
      </w:tr>
      <w:tr>
        <w:trPr>
          <w:trHeight w:val="189"/>
        </w:trPr>
        <w:tc>
          <w:tcPr>
            <w:tcW w:w="8680" w:type="dxa"/>
            <w:vAlign w:val="bottom"/>
            <w:vMerge w:val="continue"/>
          </w:tcPr>
          <w:p>
            <w:pPr>
              <w:spacing w:after="0"/>
              <w:rPr>
                <w:sz w:val="16"/>
                <w:szCs w:val="16"/>
                <w:color w:val="auto"/>
              </w:rPr>
            </w:pPr>
          </w:p>
        </w:tc>
        <w:tc>
          <w:tcPr>
            <w:tcW w:w="2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i w:val="1"/>
                <w:iCs w:val="1"/>
                <w:color w:val="auto"/>
                <w:w w:val="98"/>
              </w:rPr>
              <w:t> </w:t>
            </w:r>
          </w:p>
        </w:tc>
        <w:tc>
          <w:tcPr>
            <w:tcW w:w="1220" w:type="dxa"/>
            <w:vAlign w:val="bottom"/>
            <w:gridSpan w:val="2"/>
          </w:tcPr>
          <w:p>
            <w:pPr>
              <w:ind w:left="102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Underwriting discounts and commissions</w:t>
            </w:r>
            <w:r>
              <w:rPr>
                <w:rFonts w:ascii="Times New Roman" w:cs="Times New Roman" w:eastAsia="Times New Roman" w:hAnsi="Times New Roman"/>
                <w:sz w:val="25"/>
                <w:szCs w:val="25"/>
                <w:i w:val="1"/>
                <w:iCs w:val="1"/>
                <w:color w:val="auto"/>
                <w:vertAlign w:val="superscript"/>
              </w:rPr>
              <w:t>(1)</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i w:val="1"/>
                <w:iCs w:val="1"/>
                <w:color w:val="auto"/>
                <w:w w:val="98"/>
              </w:rPr>
              <w:t> </w:t>
            </w:r>
          </w:p>
        </w:tc>
        <w:tc>
          <w:tcPr>
            <w:tcW w:w="1220" w:type="dxa"/>
            <w:vAlign w:val="bottom"/>
            <w:gridSpan w:val="2"/>
          </w:tcPr>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i w:val="1"/>
                <w:iCs w:val="1"/>
                <w:color w:val="auto"/>
                <w:w w:val="97"/>
              </w:rPr>
              <w:t> </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before expenses, to us</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i w:val="1"/>
                <w:iCs w:val="1"/>
                <w:color w:val="auto"/>
                <w:w w:val="98"/>
              </w:rPr>
              <w:t> </w:t>
            </w:r>
          </w:p>
        </w:tc>
        <w:tc>
          <w:tcPr>
            <w:tcW w:w="1220" w:type="dxa"/>
            <w:vAlign w:val="bottom"/>
            <w:gridSpan w:val="2"/>
          </w:tcPr>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i w:val="1"/>
                <w:iCs w:val="1"/>
                <w:color w:val="auto"/>
                <w:w w:val="97"/>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the section titled “Underwriting” for additional information regarding underwriting compensation payable to the underwriters.</w:t>
      </w:r>
    </w:p>
    <w:p>
      <w:pPr>
        <w:spacing w:after="0" w:line="225"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At our request, the underwriters have reserved up to 5% of the common stock offered by this prospectus for sale, at the initial public offering price, to certain individuals identified by us. See “Underwriting - Directed Share Program.”</w:t>
      </w:r>
    </w:p>
    <w:p>
      <w:pPr>
        <w:spacing w:after="0" w:line="158"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We have granted the underwriters an option for a period of 30 days from the date of this prospectus to purchase an additional 2,205,882 shares of common stock at the initial offering price, less the underwriting discounts and commissions.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60"/>
        <w:spacing w:after="0"/>
        <w:tabs>
          <w:tab w:leader="none" w:pos="3920" w:val="left"/>
          <w:tab w:leader="none" w:pos="6900" w:val="left"/>
          <w:tab w:leader="none" w:pos="9700" w:val="left"/>
        </w:tabs>
        <w:rPr>
          <w:sz w:val="20"/>
          <w:szCs w:val="20"/>
          <w:color w:val="auto"/>
        </w:rPr>
      </w:pPr>
      <w:r>
        <w:rPr>
          <w:rFonts w:ascii="Times New Roman" w:cs="Times New Roman" w:eastAsia="Times New Roman" w:hAnsi="Times New Roman"/>
          <w:sz w:val="25"/>
          <w:szCs w:val="25"/>
          <w:i w:val="1"/>
          <w:iCs w:val="1"/>
          <w:color w:val="auto"/>
        </w:rPr>
        <w:t>Morgan Stanley</w:t>
      </w:r>
      <w:r>
        <w:rPr>
          <w:sz w:val="20"/>
          <w:szCs w:val="20"/>
          <w:color w:val="auto"/>
        </w:rPr>
        <w:tab/>
      </w:r>
      <w:r>
        <w:rPr>
          <w:rFonts w:ascii="Times New Roman" w:cs="Times New Roman" w:eastAsia="Times New Roman" w:hAnsi="Times New Roman"/>
          <w:sz w:val="25"/>
          <w:szCs w:val="25"/>
          <w:i w:val="1"/>
          <w:iCs w:val="1"/>
          <w:color w:val="auto"/>
        </w:rPr>
        <w:t>      TD Cowen</w:t>
      </w:r>
      <w:r>
        <w:rPr>
          <w:sz w:val="20"/>
          <w:szCs w:val="20"/>
          <w:color w:val="auto"/>
        </w:rPr>
        <w:tab/>
      </w:r>
      <w:r>
        <w:rPr>
          <w:rFonts w:ascii="Times New Roman" w:cs="Times New Roman" w:eastAsia="Times New Roman" w:hAnsi="Times New Roman"/>
          <w:sz w:val="25"/>
          <w:szCs w:val="25"/>
          <w:i w:val="1"/>
          <w:iCs w:val="1"/>
          <w:color w:val="auto"/>
        </w:rPr>
        <w:t>      Cantor</w:t>
      </w:r>
      <w:r>
        <w:rPr>
          <w:sz w:val="20"/>
          <w:szCs w:val="20"/>
          <w:color w:val="auto"/>
        </w:rPr>
        <w:tab/>
      </w:r>
      <w:r>
        <w:rPr>
          <w:rFonts w:ascii="Times New Roman" w:cs="Times New Roman" w:eastAsia="Times New Roman" w:hAnsi="Times New Roman"/>
          <w:sz w:val="25"/>
          <w:szCs w:val="25"/>
          <w:i w:val="1"/>
          <w:iCs w:val="1"/>
          <w:color w:val="auto"/>
        </w:rPr>
        <w:t>Stifel</w:t>
      </w:r>
    </w:p>
    <w:p>
      <w:pPr>
        <w:sectPr>
          <w:pgSz w:w="11900" w:h="16838" w:orient="portrait"/>
          <w:cols w:equalWidth="0" w:num="1">
            <w:col w:w="11140"/>
          </w:cols>
          <w:pgMar w:left="320" w:top="455" w:right="439" w:bottom="1440" w:gutter="0" w:footer="0" w:header="0"/>
        </w:sectPr>
      </w:pPr>
    </w:p>
    <w:p>
      <w:pPr>
        <w:spacing w:after="0" w:line="232" w:lineRule="exact"/>
        <w:rPr>
          <w:sz w:val="20"/>
          <w:szCs w:val="20"/>
          <w:color w:val="auto"/>
        </w:rPr>
      </w:pPr>
    </w:p>
    <w:p>
      <w:pPr>
        <w:ind w:left="12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 xml:space="preserve">Prospectus dated       </w:t>
      </w:r>
      <w:r>
        <w:rPr>
          <w:sz w:val="20"/>
          <w:szCs w:val="20"/>
          <w:color w:val="auto"/>
        </w:rPr>
        <w:tab/>
      </w:r>
      <w:r>
        <w:rPr>
          <w:rFonts w:ascii="Times New Roman" w:cs="Times New Roman" w:eastAsia="Times New Roman" w:hAnsi="Times New Roman"/>
          <w:sz w:val="17"/>
          <w:szCs w:val="17"/>
          <w:i w:val="1"/>
          <w:iCs w:val="1"/>
          <w:color w:val="auto"/>
        </w:rPr>
        <w:t>, 2024</w:t>
      </w:r>
    </w:p>
    <w:p>
      <w:pPr>
        <w:sectPr>
          <w:pgSz w:w="11900" w:h="16838" w:orient="portrait"/>
          <w:cols w:equalWidth="0" w:num="1">
            <w:col w:w="11140"/>
          </w:cols>
          <w:pgMar w:left="320" w:top="455"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8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600" w:type="dxa"/>
            <w:vAlign w:val="bottom"/>
            <w:gridSpan w:val="15"/>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4"/>
                <w:szCs w:val="24"/>
                <w:color w:val="auto"/>
              </w:rPr>
            </w:pPr>
          </w:p>
        </w:tc>
      </w:tr>
      <w:tr>
        <w:trPr>
          <w:trHeight w:val="472"/>
        </w:trPr>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196"/>
        </w:trPr>
        <w:tc>
          <w:tcPr>
            <w:tcW w:w="120" w:type="dxa"/>
            <w:vAlign w:val="bottom"/>
          </w:tcPr>
          <w:p>
            <w:pPr>
              <w:spacing w:after="0"/>
              <w:rPr>
                <w:sz w:val="17"/>
                <w:szCs w:val="17"/>
                <w:color w:val="auto"/>
              </w:rPr>
            </w:pPr>
          </w:p>
        </w:tc>
        <w:tc>
          <w:tcPr>
            <w:tcW w:w="15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3220" w:type="dxa"/>
            <w:vAlign w:val="bottom"/>
            <w:gridSpan w:val="5"/>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8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300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Financial Data</w:t>
            </w:r>
          </w:p>
        </w:tc>
        <w:tc>
          <w:tcPr>
            <w:tcW w:w="2940" w:type="dxa"/>
            <w:vAlign w:val="bottom"/>
            <w:gridSpan w:val="4"/>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38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9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196"/>
        </w:trPr>
        <w:tc>
          <w:tcPr>
            <w:tcW w:w="12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4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Principal Stockholders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920" w:type="dxa"/>
            <w:vAlign w:val="bottom"/>
            <w:gridSpan w:val="2"/>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2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8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196"/>
        </w:trPr>
        <w:tc>
          <w:tcPr>
            <w:tcW w:w="12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4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3540" w:type="dxa"/>
            <w:vAlign w:val="bottom"/>
            <w:gridSpan w:val="7"/>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4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w:t>
            </w:r>
          </w:p>
        </w:tc>
        <w:tc>
          <w:tcPr>
            <w:tcW w:w="5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2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3540" w:type="dxa"/>
            <w:vAlign w:val="bottom"/>
            <w:gridSpan w:val="7"/>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Holders of Common Stock</w:t>
            </w:r>
          </w:p>
        </w:tc>
        <w:tc>
          <w:tcPr>
            <w:tcW w:w="2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Dilution</w:t>
            </w:r>
          </w:p>
        </w:tc>
        <w:tc>
          <w:tcPr>
            <w:tcW w:w="3740" w:type="dxa"/>
            <w:vAlign w:val="bottom"/>
            <w:gridSpan w:val="8"/>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4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w:t>
            </w:r>
          </w:p>
        </w:tc>
        <w:tc>
          <w:tcPr>
            <w:tcW w:w="880" w:type="dxa"/>
            <w:vAlign w:val="bottom"/>
          </w:tcPr>
          <w:p>
            <w:pPr>
              <w:spacing w:after="0"/>
              <w:rPr>
                <w:sz w:val="17"/>
                <w:szCs w:val="17"/>
                <w:color w:val="auto"/>
              </w:rPr>
            </w:pPr>
          </w:p>
        </w:tc>
        <w:tc>
          <w:tcPr>
            <w:tcW w:w="4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w:t>
            </w: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and Results of Operations</w:t>
            </w:r>
          </w:p>
        </w:tc>
        <w:tc>
          <w:tcPr>
            <w:tcW w:w="20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80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w:t>
            </w:r>
          </w:p>
        </w:tc>
      </w:tr>
      <w:tr>
        <w:trPr>
          <w:trHeight w:val="20"/>
        </w:trPr>
        <w:tc>
          <w:tcPr>
            <w:tcW w:w="1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1"/>
              </w:rPr>
              <w:t>Management</w:t>
            </w:r>
          </w:p>
        </w:tc>
        <w:tc>
          <w:tcPr>
            <w:tcW w:w="3840" w:type="dxa"/>
            <w:vAlign w:val="bottom"/>
            <w:gridSpan w:val="9"/>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4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334010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20" w:firstLine="440"/>
        <w:spacing w:after="0" w:line="224" w:lineRule="auto"/>
        <w:rPr>
          <w:sz w:val="20"/>
          <w:szCs w:val="20"/>
          <w:color w:val="auto"/>
        </w:rPr>
      </w:pPr>
      <w:r>
        <w:rPr>
          <w:rFonts w:ascii="Times New Roman" w:cs="Times New Roman" w:eastAsia="Times New Roman" w:hAnsi="Times New Roman"/>
          <w:sz w:val="18"/>
          <w:szCs w:val="18"/>
          <w:color w:val="auto"/>
        </w:rPr>
        <w:t>Through and including        , 2024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9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the date on the front cover of this prospectus, regardless of its time delivery or any sale of shares of our common stock. Our business, financial condition, results of operations and prospects may have changed since that date.</w:t>
      </w:r>
    </w:p>
    <w:p>
      <w:pPr>
        <w:spacing w:after="0" w:line="189" w:lineRule="exact"/>
        <w:rPr>
          <w:sz w:val="20"/>
          <w:szCs w:val="20"/>
          <w:color w:val="auto"/>
        </w:rPr>
      </w:pPr>
    </w:p>
    <w:p>
      <w:pPr>
        <w:jc w:val="both"/>
        <w:ind w:left="120" w:firstLine="440"/>
        <w:spacing w:after="0" w:line="230" w:lineRule="auto"/>
        <w:rPr>
          <w:sz w:val="20"/>
          <w:szCs w:val="20"/>
          <w:color w:val="auto"/>
        </w:rPr>
      </w:pPr>
      <w:r>
        <w:rPr>
          <w:rFonts w:ascii="Times New Roman" w:cs="Times New Roman" w:eastAsia="Times New Roman" w:hAnsi="Times New Roman"/>
          <w:sz w:val="18"/>
          <w:szCs w:val="18"/>
          <w:color w:val="auto"/>
        </w:rPr>
        <w:t xml:space="preserve">We own various U.S. federal trademark applications, registered and unregistered trademarks, and trade names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such references should not be construed as any indicator that their respective owners will not assert, to the fullest extent under applicable law, their rights thereto.</w:t>
      </w:r>
    </w:p>
    <w:p>
      <w:pPr>
        <w:spacing w:after="0" w:line="19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estimates, statistical and market data and certain other information concerning our industry, market and competitive position used throughout this prospectus are based on our own internal estimates and research, independent industry publications, governmental publications, reports by market research firms or other independent sources that we believe to be reliable sources.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Industry publications and third-party research, surveys, and studies generally indicate that their information has been obtained from sources believed to be reliable, although they do</w:t>
      </w:r>
    </w:p>
    <w:p>
      <w:pPr>
        <w:sectPr>
          <w:pgSz w:w="11900" w:h="16838" w:orient="portrait"/>
          <w:cols w:equalWidth="0" w:num="1">
            <w:col w:w="11140"/>
          </w:cols>
          <w:pgMar w:left="320" w:top="44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not guarantee the accuracy or completeness of such information. We are responsible for all of the disclosures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the context otherwise requires, the terms “Bicara,” “the Company,” “we,” “us,” and “our” in this prospectus refer to Bicara Therapeutics Inc. and its wholly owned subsidiary, or either or both of them as the context may require.</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bringing transformative bifunctional therapies to patients with solid tumors. Our lead program ficerafusp alfa is a bifunctional antibody that combines two clinically validated targets, an epidermal growth factor receptor, or EGFR, directed monoclonal antibody with a domain that binds to human transforming growth factor beta, or TGF-b. Through this dual-targeting mechanism, ficerafusp alfa has the potential to exert potent anti-tumor activity by simultaneously blocking both cancer cell-intrinsic EGFR survival and proliferation, as well as the immunosuppressive TGF-b signaling within the tumor microenvironment, or TME. Ficerafusp alfa directs the TGF-b inhibitor into the immediate TME through the binding of EGFR on tumor cells, which we believe will lead to durable responses and an increase in overall survival, or OS, while reducing the adverse effects typically associated with systemic TGF-b inhibition. Ficerafusp alfa is initially being developed in head and neck squamous cell carcinoma, or HNSCC, where there remains a significant unmet need. We intend to initiate a pivotal Phase 2/3 trial of ficerafusp alfa in combination with pembrolizumab as a first-line therapy in recurrent/metastatic, or R/M, HNSCC excluding patients associated with human papillomavirus infection, or HPV-positive patients, with oropharyngeal squamous cell carcinoma, or OPSCC, late in the fourth quarter of 2024 or early in the first quarter of 2025.</w:t>
      </w:r>
    </w:p>
    <w:p>
      <w:pPr>
        <w:spacing w:after="0" w:line="192"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conducting an ongoing Phase 1/1b trial of ficerafusp alfa in the U.S., which includes a cohort of HNSCC patients who were treatment-naïve in the R/M setting. In this cohort, treatment with ficerafusp alfa in combination with pembrolizumab resulted in a 54% (21/39) overall response rate, or ORR, in the efficacy evaluable population, and a 64% (18/28) ORR in patients not associated with human papillomavirus infection, or HPV-negative patients. The historical response rate observed in a Phase 3 trial with pembrolizumab monotherapy, the current standard of care in R/M HNSCC, was 19%. Furthermore, treatment with ficerafusp alfa in combination with pembrolizumab demonstrated an 18% (5/28) complete response rate, or CR rate, and a median progression-free survival, or mPFS, of 9.8 months in HPV-negative patients. With at least 12 months of follow-up, median OS and median duration of response, or mDOR, have not yet been reached, and we expect to announce updated interim Phase 1/1b data at future medical meetings in 2025. Based on the clinical data generated to date, we believe that ficerafusp alfa in combination with pembrolizumab has the potential to become a first-line standard of care therapy in HPV-negative R/M HNSCC.</w:t>
      </w:r>
    </w:p>
    <w:p>
      <w:pPr>
        <w:spacing w:after="0" w:line="188"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We also believe ficerafusp alfa has the potential to provide meaningful clinical benefit in other solid tumors where there is a strong biologic rationale for the dual inhibition of both EGFR and TGF-b, such as colorectal cancer and other squamous cell carcinomas which typically overexpress EGFR and TGF-b pathways. We have demonstrated preliminary activity of ficerafusp alfa in combination with pembrolizumab or as a monotherapy across several squamous cell carcinomas, including cutaneous squamous cell carcinoma, or CSCC. Within our Phase 1/1b dose expansion cohorts conducted in the U.S. and Canada, we have observed to date a preliminary 42% (5/12) ORR with ficerafusp alfa monotherapy in relapsed and/or refractory CSCC patients.</w:t>
      </w:r>
    </w:p>
    <w:p>
      <w:pPr>
        <w:spacing w:after="0" w:line="187"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We have built a platform designed to facilitate the development of bifunctional therapies that precisely target the tumor and deliver a tumor-modulating payload to the tumor site. This dual-targeting approach both</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enhances drug exposure within the TME and limits systemic toxicity. This approach was deployed in the development of ficerafusp alfa, where we believe the bifunctional design can improve upon the therapeutic profile of immunotherapies and targeted therapies by addressing resistance mechanisms and limiting off-target toxicity, therefore, enhancing the treatment effect and tolerability for targeted patient populations with cancer.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HNSCC Background</w:t>
      </w:r>
    </w:p>
    <w:p>
      <w:pPr>
        <w:spacing w:after="0" w:line="121"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HNSCC is one of the most common cancers in the U.S. and globally with a rising incidence anticipated to reach one million new global cases annually by 2030. There are approximately 67,000 cases of HNSCC each year in the U.S with a 13% 5-year survival rate. Ten percent of HNSCC patients are diagnosed with metastatic disease and up to 30% develop a recurrence or metastases over time after initial treatment for advanced HNSCC. There are approximately 23,000 cases of R/M HNSCC each year in the U.S. Median OS for patients with R/M HNSCC is only 12 months. Most cases of HNSCC are believed to arise from mutations that accumulate due to carcinogenic exposure, such as tobacco smoke, or by HPV. Approximately 80% of patients with R/M HNSCC are HPV-negative, a status associated with a worse prognosis. Pembrolizumab monotherapy is the standard of care for R/M HNSCC patients who have evidence of PD-L1 expressing tumors is pembrolizumab monotherapy. The KEYNOTE-048 Phase 3 trial of pembrolizumab conducted by Merck &amp; Co. Inc., or Merck &amp; Co, demonstrated an ORR of 19% with a mPFS of 3.2 months in a population of HPV-negative and HPV-positive patients with combined positive scores, or CPS, greater than or equal to one. For patients with a CPS less than one and no PD-L1 expression within their TME, the typical standard of care is the EXTREME regimen, a combination of cetuximab and chemotherapy, which has low response rates and survival, as well as a difficult tolerability profile.</w:t>
      </w:r>
    </w:p>
    <w:p>
      <w:pPr>
        <w:spacing w:after="0" w:line="192"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We believe the poor prognoses in HPV-negative R/M HNSCC and the low ORR associated with available therapies may be attributed to the elevated levels of TGF-b observed in these patients. It has been shown in translational studies that EGFR inhibition leads to further increases in TGF-b levels which result in the development of resistance to EGFR-targeted therapeutics. We believe blocking TGF-b has the potential to prevent resistance and improve the anti-tumor activity of anti-EGFR therapies, leading to more durable responses and an increase in OS. Similarly, inhibiting TGF-b may reduce the fibrosis and immune-exclusion within the TME that could be responsible for the low efficacy seen with checkpoint inhibitors in these immunosuppressive, or “cold” tumors. We believe promoting immune activation via TGF-b blockade may translate to significant increases in anti-tumor efficacy, particularly in the depth and durability of responses in combination with anti-PD1 therapies.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Dual-Targeting Mechanism: EGFR and TGF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p>
    <w:p>
      <w:pPr>
        <w:spacing w:after="0" w:line="121"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EGFR is the primary member of a larger family of cell-surface growth factor receptors harboring intrinsic tyrosine kinase function. EGFR is involved in many tumor-promoting pathways. Its overexpression has been linked to multiple squamous cell cancers, including HNSCC, where EGFR expression has been shown to be greater than 90%. EGFR has been a long-standing focus for cancer drug development due to the correlation between EGFR expression, poor prognosis and resistance to therapy. Cetuximab is an EGFR-directed monoclonal antibody approved for HNSCC and colorectal cancer that drives anti-tumor responses by inhibiting EGFR signaling and through antibody-dependent cell-mediated cytotoxicity, or ADCC. However, acquired resistance mechanisms to cetuximab can prevent durable responses. We believe that there is a significant market opportunity for EGFR targeted therapies with improved efficacy, durability and OS compared to cetuximab.</w:t>
      </w:r>
    </w:p>
    <w:p>
      <w:pPr>
        <w:spacing w:after="0" w:line="189"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 xml:space="preserve">TGF-b is a cytokine that controls a range of biological functions and is widely understood to play a critical role in cancer. TGF-b perpetuates tumor survival by promoting tumor cell proliferation, migration, invasion and metastasis. TGF-b also serves as an immunosuppressant, inhibiting both natural killer, or NK, cells and cytotoxic T cells. The inhibition of TGF-b has been demonstrated to improve anti-tumor responses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However, these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35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8"/>
          <w:szCs w:val="18"/>
          <w:color w:val="auto"/>
        </w:rPr>
        <w:t>findings have not been translated into substantial improvements in clinical efficacy, which we believe may be due to the inability to sufficiently inhibit TGF-b directly within the TME. Increased TGF-b expression within the TME contributes to an immune-excluded environment.</w:t>
      </w:r>
    </w:p>
    <w:p>
      <w:pPr>
        <w:spacing w:after="0" w:line="162"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 xml:space="preserve">Ficerafusp alfa is a bifunctional antibody that combines the well-established biologies of both the clinically validated anti-EGFR antibody cetuximab and a TGF-b binding domain to deliver a potent anti-tumor therapy, sequestering TGF-b directly to EGFR-expressing tumors with the goal of limiting off-target toxicity. We have shown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that ficerafusp alfa performs as expected, by binding to both targets, localizing to the tumor, inhibiting tumor growth and suppressing TGF-b levels within tumors.</w:t>
      </w:r>
    </w:p>
    <w:p>
      <w:pPr>
        <w:spacing w:after="0" w:line="288"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Ficerafusp alfa was designed to overcome key shortcomings of prior approaches to targeting EGFR and TGF-b. Specifically, we believe that ficerafusp alfa is differentiated from previous and existing approaches given the following:</w:t>
      </w:r>
    </w:p>
    <w:p>
      <w:pPr>
        <w:spacing w:after="0" w:line="63" w:lineRule="exact"/>
        <w:rPr>
          <w:sz w:val="20"/>
          <w:szCs w:val="20"/>
          <w:color w:val="auto"/>
        </w:rPr>
      </w:pPr>
    </w:p>
    <w:p>
      <w:pPr>
        <w:ind w:left="1240" w:right="20" w:hanging="523"/>
        <w:spacing w:after="0" w:line="28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ficerafusp alfa localizes TGF-b inhibition directly to EGFR expressing tumor cells</w:t>
      </w:r>
      <w:r>
        <w:rPr>
          <w:rFonts w:ascii="Times New Roman" w:cs="Times New Roman" w:eastAsia="Times New Roman" w:hAnsi="Times New Roman"/>
          <w:sz w:val="18"/>
          <w:szCs w:val="18"/>
          <w:color w:val="auto"/>
        </w:rPr>
        <w:t>. We believe this will lead to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concentrations within the TME to increase the inhibition, reduce overall dose and enhance tolerability.</w:t>
      </w:r>
    </w:p>
    <w:p>
      <w:pPr>
        <w:spacing w:after="0" w:line="60" w:lineRule="exact"/>
        <w:rPr>
          <w:rFonts w:ascii="Times New Roman" w:cs="Times New Roman" w:eastAsia="Times New Roman" w:hAnsi="Times New Roman"/>
          <w:sz w:val="18"/>
          <w:szCs w:val="18"/>
          <w:color w:val="auto"/>
        </w:rPr>
      </w:pPr>
    </w:p>
    <w:p>
      <w:pPr>
        <w:ind w:left="1240" w:hanging="523"/>
        <w:spacing w:after="0" w:line="28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ficerafusp alfa may help prevent acquired resistance to EGFR-targeted therapies</w:t>
      </w:r>
      <w:r>
        <w:rPr>
          <w:rFonts w:ascii="Times New Roman" w:cs="Times New Roman" w:eastAsia="Times New Roman" w:hAnsi="Times New Roman"/>
          <w:sz w:val="18"/>
          <w:szCs w:val="18"/>
          <w:color w:val="auto"/>
        </w:rPr>
        <w:t>. Dual targeting of TGF-b alongside EGFR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key resistance mechanisms driven by upregulation of TGF-b and may drive durable tumor responses.</w:t>
      </w:r>
    </w:p>
    <w:p>
      <w:pPr>
        <w:spacing w:after="0" w:line="60" w:lineRule="exact"/>
        <w:rPr>
          <w:rFonts w:ascii="Times New Roman" w:cs="Times New Roman" w:eastAsia="Times New Roman" w:hAnsi="Times New Roman"/>
          <w:sz w:val="18"/>
          <w:szCs w:val="18"/>
          <w:color w:val="auto"/>
        </w:rPr>
      </w:pPr>
    </w:p>
    <w:p>
      <w:pPr>
        <w:ind w:left="1240" w:hanging="523"/>
        <w:spacing w:after="0" w:line="28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ficerafusp alfa synergizes with anti-PD-1 therapies</w:t>
      </w:r>
      <w:r>
        <w:rPr>
          <w:rFonts w:ascii="Times New Roman" w:cs="Times New Roman" w:eastAsia="Times New Roman" w:hAnsi="Times New Roman"/>
          <w:sz w:val="18"/>
          <w:szCs w:val="18"/>
          <w:color w:val="auto"/>
        </w:rPr>
        <w:t>. Targeting TGF-b directly in the TME may relieve immune cell suppression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exclusion and enhance both the immune response as well as the activity of anti-PD-1 therapies.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Ficerafusp alfa clinical results</w:t>
      </w:r>
    </w:p>
    <w:p>
      <w:pPr>
        <w:spacing w:after="0" w:line="121"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conducting an ongoing Phase 1/1b trial in patients with EGFR-driven solid tumors. This trial has the goal of establishing safety and tolerability, as well as the recommended dose for expansion for both ficerafusp alfa monotherapy and ficerafusp alfa in combination with pembrolizumab across various tumor types. Data from our Phase 1/1b dose expansion cohort evaluating 1500mg of ficerafusp alfa in combination with pembrolizumab in efficacy-evaluable first-line R/M HNSCC patients with a CPS greater than or equal to one was first presented in an oral presentation at an American Society of Clinical Oncology meeting in June 2023. We demonstrated a meaningful 54% (21/39) ORR across both HPV-negative and HPV-positive R/M HNSCC. We also observed a markedly higher ORR of 64% (18/28) in the HPV-negative subset. This is consistent with the HPV-negative subset having elevated levels of EGFR and TGF-b, where we believe ficerafusp alfa has potential to achieve differentiated clinical outcomes.</w:t>
      </w:r>
    </w:p>
    <w:p>
      <w:pPr>
        <w:spacing w:after="0" w:line="192"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As depicted in the Figure below, in the HPV-negative subset, response rates of more than 50% were observed in both the CPS 1 through 19 and CPS greater than or equal to 20 subgroups. This is notable as pembrolizumab is known to have a lower efficacy in the CPS 1-19 subset. We also observed that 18% (5/28) of HPV-negative patients achieved a CR and several other patients achieved deep partial responses, including 5 other patients with responses greater than 80%. The CR rate of approximately 3-5% was previously reported in investigator-sponsored trials, or ISTs, of cetuximab in combination with pembrolizumab or nivolumab, as well as the KEYNOTE-048 study with pembrolizumab in patients with CPS greater than or equal to one. Since the ficerafusp alfa Phase 1/1b clinical trial was a single arm study, the Company cannot derive statistical significance.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44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Figure. Anti-tumor responses of HPV-negative HNSCC patients treated with ficerafusp alfa and pembrolizumab</w:t>
      </w:r>
    </w:p>
    <w:p>
      <w:pPr>
        <w:spacing w:after="0" w:line="119"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In addition to the high ORR and deep partial responses, we observed that the responses in the combination trial were durable and suggestive of enhanced immunological memory and the mPFS in HPV-negative subjects was 9.8 months. The PFS benefit in historical published data for pembrolizumab monotherapy was 3.2 months in an HPV-negative and HPV-positive population, and the PFS benefit for cetuximab and anti-PD-1 combination ISTs was 6.2 to 6.5 months in an HPV-negative and HPV-positive population. We aim to replicate this Phase 1b data in a pivotal randomized Phase 2/3 trial as we believe that ficerafusp alfa in combination with pembrolizumab has the potential to become a first-line standard of care therapy in HPV-negative R/M HNSCC.</w:t>
      </w:r>
    </w:p>
    <w:p>
      <w:pPr>
        <w:spacing w:after="0" w:line="187"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working to bring ficerafusp alfa, a potentially transformative therapy, to patients as quickly as possible. We have designed a double-blinded placebo-controlled Phase 2/3 trial in R/M HNSCC patients, excluding patients with HPV-positive OPSCC, which we believe is sufficiently powered to achieve results that may lead to accelerated approval. While such accelerated approval pathway could expedite the development or approval process, there’s no guarantee that it will and it does not generally change the standards for approval. This trial will enroll approximately 750 patients with a PD-L1 CPS greater than or equal to one, and who have not received systemic therapy in the R/M setting. We intend to conduct an interim analysis to determine if the ORR is sufficient to seek accelerated approval and will continue the trial with the goal of demonstrating a statistically significant improvement in OS. We anticipate initiating this trial late in the fourth quarter of 2024 or early in the first quarter of 2025 and project that the ORR interim analysis may occur in 2027.</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Our company was founded with the goal of bringing transformative bifunctional therapies to patients with solid tumors. To advance that goal, we are focusing our efforts on the development of our lead program, ficerafusp alfa, for the treatment of R/M HNSCC, where there remains a significant unmet need. We believe the following competitive strengths will allow us to successfully develop, commercialize and maximize the impact of ficerafusp alfa:</w:t>
      </w:r>
    </w:p>
    <w:p>
      <w:pPr>
        <w:spacing w:after="0" w:line="81" w:lineRule="exact"/>
        <w:rPr>
          <w:sz w:val="20"/>
          <w:szCs w:val="20"/>
          <w:color w:val="auto"/>
        </w:rPr>
      </w:pPr>
    </w:p>
    <w:p>
      <w:pPr>
        <w:ind w:left="1240" w:hanging="523"/>
        <w:spacing w:after="0"/>
        <w:tabs>
          <w:tab w:leader="none" w:pos="1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Validated dual-targeting mechanism of action with potential to exert potent and durable anti-tumor activity.</w:t>
      </w:r>
    </w:p>
    <w:p>
      <w:pPr>
        <w:spacing w:after="0" w:line="121"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18"/>
          <w:szCs w:val="18"/>
          <w:color w:val="auto"/>
        </w:rPr>
        <w:t>Ficerafusp alfa is a bifunctional antibody designed to simultaneously block both cancer cell-intrinsic EGFR survival and proliferation, as well as the well-understood immunosuppressive TGF-b signaling</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19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60"/>
        <w:spacing w:after="0" w:line="261" w:lineRule="auto"/>
        <w:rPr>
          <w:sz w:val="20"/>
          <w:szCs w:val="20"/>
          <w:color w:val="auto"/>
        </w:rPr>
      </w:pPr>
      <w:r>
        <w:rPr>
          <w:rFonts w:ascii="Times New Roman" w:cs="Times New Roman" w:eastAsia="Times New Roman" w:hAnsi="Times New Roman"/>
          <w:sz w:val="18"/>
          <w:szCs w:val="18"/>
          <w:color w:val="auto"/>
        </w:rPr>
        <w:t>within the TME. Ficerafusp alfa leverages the established biology of the clinically validated anti-EGFR antibody cetuximab. However, ficerafusp alfa is differentiated from existing therapies through the targeting of TGF-b, which localizes the ligand to EGFR expressing tumor cells, potentially increasing its activity at the tumor site and limiting systemic toxicity. Importantly, TGF-b inhibition synergizes with EGFR, which we believe will prevent resistance to treatment and lead to more durable responses.</w:t>
      </w:r>
    </w:p>
    <w:p>
      <w:pPr>
        <w:spacing w:after="0" w:line="81" w:lineRule="exact"/>
        <w:rPr>
          <w:sz w:val="20"/>
          <w:szCs w:val="20"/>
          <w:color w:val="auto"/>
        </w:rPr>
      </w:pPr>
    </w:p>
    <w:p>
      <w:pPr>
        <w:ind w:left="1240" w:hanging="523"/>
        <w:spacing w:after="0"/>
        <w:tabs>
          <w:tab w:leader="none" w:pos="1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 data generated to date representing meaningful improvements over standard of care.</w:t>
      </w:r>
    </w:p>
    <w:p>
      <w:pPr>
        <w:spacing w:after="0" w:line="121" w:lineRule="exact"/>
        <w:rPr>
          <w:sz w:val="20"/>
          <w:szCs w:val="20"/>
          <w:color w:val="auto"/>
        </w:rPr>
      </w:pPr>
    </w:p>
    <w:p>
      <w:pPr>
        <w:jc w:val="both"/>
        <w:ind w:left="1260"/>
        <w:spacing w:after="0" w:line="256" w:lineRule="auto"/>
        <w:rPr>
          <w:sz w:val="20"/>
          <w:szCs w:val="20"/>
          <w:color w:val="auto"/>
        </w:rPr>
      </w:pPr>
      <w:r>
        <w:rPr>
          <w:rFonts w:ascii="Times New Roman" w:cs="Times New Roman" w:eastAsia="Times New Roman" w:hAnsi="Times New Roman"/>
          <w:sz w:val="18"/>
          <w:szCs w:val="18"/>
          <w:color w:val="auto"/>
        </w:rPr>
        <w:t>We have generated compelling interim clinical data for ficerafusp alfa in a Phase 1/1b trial of R/M HNSCC patients. In this trial, treatment with ficerafusp alfa in combination with pembrolizumab led to a 64% (18/28) ORR in HPV-negative patients. The combination also demonstrated an 18% (5/28) CR rate and mPFS to 9.8 months in the same patient population. With at least 12 months of follow-up, median OS and mDOR have not yet been reached, and we expect to announce updated interim Phase 1/1b data at future medical meetings in 2025. We believe that ficerafusp alfa in combination with pembrolizumab has the potential to become a first-line standard of care therapy in HPV-negative R/M HNSCC.</w:t>
      </w:r>
    </w:p>
    <w:p>
      <w:pPr>
        <w:spacing w:after="0" w:line="89" w:lineRule="exact"/>
        <w:rPr>
          <w:sz w:val="20"/>
          <w:szCs w:val="20"/>
          <w:color w:val="auto"/>
        </w:rPr>
      </w:pPr>
    </w:p>
    <w:p>
      <w:pPr>
        <w:ind w:left="1240" w:hanging="523"/>
        <w:spacing w:after="0"/>
        <w:tabs>
          <w:tab w:leader="none" w:pos="1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to address significant unmet need in HPV-negative R/M HNSCC with clear development pathway.</w:t>
      </w:r>
    </w:p>
    <w:p>
      <w:pPr>
        <w:spacing w:after="0" w:line="121" w:lineRule="exact"/>
        <w:rPr>
          <w:sz w:val="20"/>
          <w:szCs w:val="20"/>
          <w:color w:val="auto"/>
        </w:rPr>
      </w:pPr>
    </w:p>
    <w:p>
      <w:pPr>
        <w:jc w:val="both"/>
        <w:ind w:left="1260"/>
        <w:spacing w:after="0" w:line="254" w:lineRule="auto"/>
        <w:rPr>
          <w:sz w:val="20"/>
          <w:szCs w:val="20"/>
          <w:color w:val="auto"/>
        </w:rPr>
      </w:pPr>
      <w:r>
        <w:rPr>
          <w:rFonts w:ascii="Times New Roman" w:cs="Times New Roman" w:eastAsia="Times New Roman" w:hAnsi="Times New Roman"/>
          <w:sz w:val="18"/>
          <w:szCs w:val="18"/>
          <w:color w:val="auto"/>
        </w:rPr>
        <w:t>HNSCC is one of the most common cancers, accounting for approximately 4% of all cancers in the U.S. An estimated 80% of R/M HNSCC cases are HPV-negative, a status associated with significantly worse outcomes compared to HPV-positive patients. We are prioritizing our initial development efforts in HPV-negative R/M HNSCC given the significant unmet need for durable therapies in this patient population. We also believe that ficerafusp alfa will be most effective in this patient subset given the (1) high expression of EGFR, (2) elevated levels of TGF-b and (3) current preclinical and clinical data, including from our own Phase 1/1b study, supporting increased activity within HPV-negative patients. We believe our deliberate patient selection strategy provides the best opportunity to demonstrate the potential of ficerafusp alfa as a first-line therapy. We plan to initiate a pivotal Phase 2/3 trial of ficerafusp alfa in combination with pembrolizumab as a first-line therapy in HPV-negative R/M HNSCC late in the fourth quarter of 2024 or early in the first quarter of 2025.</w:t>
      </w:r>
    </w:p>
    <w:p>
      <w:pPr>
        <w:spacing w:after="0" w:line="90" w:lineRule="exact"/>
        <w:rPr>
          <w:sz w:val="20"/>
          <w:szCs w:val="20"/>
          <w:color w:val="auto"/>
        </w:rPr>
      </w:pPr>
    </w:p>
    <w:p>
      <w:pPr>
        <w:ind w:left="1240" w:hanging="523"/>
        <w:spacing w:after="0" w:line="286" w:lineRule="auto"/>
        <w:tabs>
          <w:tab w:leader="none" w:pos="1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to expand the clinical development of ficerafusp alfa in additional patient populations within HNSCC and other solid tumors of squamous cell origin.</w:t>
      </w:r>
    </w:p>
    <w:p>
      <w:pPr>
        <w:spacing w:after="0" w:line="51" w:lineRule="exact"/>
        <w:rPr>
          <w:sz w:val="20"/>
          <w:szCs w:val="20"/>
          <w:color w:val="auto"/>
        </w:rPr>
      </w:pPr>
    </w:p>
    <w:p>
      <w:pPr>
        <w:jc w:val="both"/>
        <w:ind w:left="1260"/>
        <w:spacing w:after="0" w:line="256" w:lineRule="auto"/>
        <w:rPr>
          <w:sz w:val="20"/>
          <w:szCs w:val="20"/>
          <w:color w:val="auto"/>
        </w:rPr>
      </w:pPr>
      <w:r>
        <w:rPr>
          <w:rFonts w:ascii="Times New Roman" w:cs="Times New Roman" w:eastAsia="Times New Roman" w:hAnsi="Times New Roman"/>
          <w:sz w:val="18"/>
          <w:szCs w:val="18"/>
          <w:color w:val="auto"/>
        </w:rPr>
        <w:t>Beyond our initial development plans, we believe there are significant opportunities to expand the clinical development of ficerafusp alfa to other populations of HNSCC patients with greater than 60,000 cases each year in the U.S., including for the treatment of locally advanced HPV-negative HNSCC and in the neoadjuvant or adjuvant setting. We also believe ficerafusp alfa has the potential to provide meaningful clinical benefit in other EGFR-expressing solid tumors of squamous cell origin, such as colorectal cancer and other squamous cell carcinomas where there is a strong biologic rationale for the dual-inhibition of EGFR and TGF-b pathways. We plan to explore these additional development opportunities to maximize the potential of ficerafusp alfa for the treatment of cancer.</w:t>
      </w:r>
    </w:p>
    <w:p>
      <w:pPr>
        <w:spacing w:after="0" w:line="89" w:lineRule="exact"/>
        <w:rPr>
          <w:sz w:val="20"/>
          <w:szCs w:val="20"/>
          <w:color w:val="auto"/>
        </w:rPr>
      </w:pPr>
    </w:p>
    <w:p>
      <w:pPr>
        <w:ind w:left="1240" w:hanging="523"/>
        <w:spacing w:after="0"/>
        <w:tabs>
          <w:tab w:leader="none" w:pos="1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Strong and experienced team with deep expertise in clinical development.</w:t>
      </w:r>
    </w:p>
    <w:p>
      <w:pPr>
        <w:spacing w:after="0" w:line="121" w:lineRule="exact"/>
        <w:rPr>
          <w:sz w:val="20"/>
          <w:szCs w:val="20"/>
          <w:color w:val="auto"/>
        </w:rPr>
      </w:pPr>
    </w:p>
    <w:p>
      <w:pPr>
        <w:jc w:val="both"/>
        <w:ind w:left="1260"/>
        <w:spacing w:after="0" w:line="258" w:lineRule="auto"/>
        <w:rPr>
          <w:sz w:val="20"/>
          <w:szCs w:val="20"/>
          <w:color w:val="auto"/>
        </w:rPr>
      </w:pPr>
      <w:r>
        <w:rPr>
          <w:rFonts w:ascii="Times New Roman" w:cs="Times New Roman" w:eastAsia="Times New Roman" w:hAnsi="Times New Roman"/>
          <w:sz w:val="18"/>
          <w:szCs w:val="18"/>
          <w:color w:val="auto"/>
        </w:rPr>
        <w:t>We have assembled a seasoned leadership team with extensive and highly relevant experience in the field of oncology drug development. Our organization is comprised of scientific, clinical and business leaders with broad biotechnology expertise. We have a strong track record of study design and execution, exemplified by the rapid enrollment of our Phase 1/1b study. Our mission-driven team will continue to dedicate our collective efforts and resources to our shared goal of delivering transformative therapies to cancer patients.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16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We have assembled a seasoned leadership team of scientific, clinical and business leaders with broad expertise in biotechnology. Claire Mazumdar, Ph.D., M.B.A., our Chief Executive Officer, was previously part of the founding team and led business development and corporate strategy at Rheos Medicines, Inc. Dr. Mazumdar served as a Senior Associate at Third Rock Ventures, LLC, where she focused on company formation and supported business development for their portfolio companies. Ryan Cohlhepp, Pharm.D., our President and Chief Operating Officer, was a founding executive at Rheos Medicines, Inc., and prior to that, was Vice President of Marketing, Operations and Analytics at Takeda Oncology where he was responsible for the company’s commercial oncology portfolio in the U.S. David Raben, M.D., our Chief Medical Officer, is currently a board-certified radiation oncologist with more than 25 years of biopharma and academic translational oncology experience. His prior roles include Vice President of Global Product Development and Product General Manager of Oncology at Amgen, Inc. and Vice President and Franchise Leader of Clinical Oncology at Genentech, Inc. focused on non-small cell lung cancer, or NSCLC, skin cancer and HNSCC. Ivan Hyep, our Chief Financial Officer, previously served as Head of Finance at MOMA Therapeutics and Director of Finance at Third Rock Ventures, LLC after 10 years at Bain Capital, LP. Lara Meisner, J.D., our Chief Legal Officer, previously served as Chief Legal Officer at Viridian Therapeutics, Inc. and in various senior legal roles at Astria Therapeutics, Inc. and Verastem Oncology, Inc.</w:t>
      </w:r>
    </w:p>
    <w:p>
      <w:pPr>
        <w:spacing w:after="0" w:line="190"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Our team is supported by a group of investors who have shared our vision and commitment to developing transformative bifunctional therapies for patients with solid tumors. Since our inception, we have raised $353 million, including a $165 million Series C financing in December 2023. Our leading syndicate of investors includes RA Capital Management, Red Tree Venture Capital, Omega Funds, Invus and TPG, as well as Biocon Limited, a global biopharmaceutical company and leader in the development of biologics. Prospective investors should not rely on the investment decisions of our existing investors, as these investors may have different risk tolerances and have received their shares in prior offerings at prices lower than the price offered to the public in this offering.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for more information.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include, but are not limited to, the following:</w:t>
      </w:r>
    </w:p>
    <w:p>
      <w:pPr>
        <w:spacing w:after="0" w:line="189" w:lineRule="exact"/>
        <w:rPr>
          <w:sz w:val="20"/>
          <w:szCs w:val="20"/>
          <w:color w:val="auto"/>
        </w:rPr>
      </w:pPr>
    </w:p>
    <w:p>
      <w:pPr>
        <w:jc w:val="both"/>
        <w:ind w:left="700" w:hanging="402"/>
        <w:spacing w:after="0" w:line="266"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81" w:lineRule="exact"/>
        <w:rPr>
          <w:rFonts w:ascii="Times New Roman" w:cs="Times New Roman" w:eastAsia="Times New Roman" w:hAnsi="Times New Roman"/>
          <w:sz w:val="18"/>
          <w:szCs w:val="18"/>
          <w:color w:val="auto"/>
        </w:rPr>
      </w:pPr>
    </w:p>
    <w:p>
      <w:pPr>
        <w:jc w:val="both"/>
        <w:ind w:left="700" w:hanging="402"/>
        <w:spacing w:after="0" w:line="266"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81" w:lineRule="exact"/>
        <w:rPr>
          <w:rFonts w:ascii="Times New Roman" w:cs="Times New Roman" w:eastAsia="Times New Roman" w:hAnsi="Times New Roman"/>
          <w:sz w:val="18"/>
          <w:szCs w:val="18"/>
          <w:color w:val="auto"/>
        </w:rPr>
      </w:pPr>
    </w:p>
    <w:p>
      <w:pPr>
        <w:ind w:left="700" w:hanging="402"/>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ficerafusp alfa. If we are unable to successfully complete clinical development, obtain regulatory approval for or commercialize ficerafusp alfa, or if we experience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700" w:right="20" w:hanging="402"/>
        <w:spacing w:after="0" w:line="266"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and comparable foreign authorities are lengthy, time-consuming and inherently unpredictable, and if we are ultimately unable to obtain regulatory approval for our product candidates, our business will be materially harmed.</w:t>
      </w:r>
    </w:p>
    <w:p>
      <w:pPr>
        <w:spacing w:after="0" w:line="81" w:lineRule="exact"/>
        <w:rPr>
          <w:rFonts w:ascii="Times New Roman" w:cs="Times New Roman" w:eastAsia="Times New Roman" w:hAnsi="Times New Roman"/>
          <w:sz w:val="18"/>
          <w:szCs w:val="18"/>
          <w:color w:val="auto"/>
        </w:rPr>
      </w:pPr>
    </w:p>
    <w:p>
      <w:pPr>
        <w:ind w:left="700" w:hanging="402"/>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uncertain outcomes. We may incur additional costs and experience delays in developing and commercializing or be unable to develop or commercialize ficerafusp alfa and any future product candidates.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10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010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700" w:right="20" w:hanging="402"/>
        <w:spacing w:after="0" w:line="266"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Ficerafusp alfa or any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81" w:lineRule="exact"/>
        <w:rPr>
          <w:rFonts w:ascii="Times New Roman" w:cs="Times New Roman" w:eastAsia="Times New Roman" w:hAnsi="Times New Roman"/>
          <w:sz w:val="18"/>
          <w:szCs w:val="18"/>
          <w:color w:val="auto"/>
        </w:rPr>
      </w:pPr>
    </w:p>
    <w:p>
      <w:pPr>
        <w:ind w:left="700" w:hanging="402"/>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ficerafusp alfa or any future product candidates will depend upon the degree of market acceptance of such product candidates by physicians, patients, healthcare payors and others in the medical community.</w:t>
      </w:r>
    </w:p>
    <w:p>
      <w:pPr>
        <w:spacing w:after="0" w:line="67" w:lineRule="exact"/>
        <w:rPr>
          <w:rFonts w:ascii="Times New Roman" w:cs="Times New Roman" w:eastAsia="Times New Roman" w:hAnsi="Times New Roman"/>
          <w:sz w:val="18"/>
          <w:szCs w:val="18"/>
          <w:color w:val="auto"/>
        </w:rPr>
      </w:pPr>
    </w:p>
    <w:p>
      <w:pPr>
        <w:jc w:val="both"/>
        <w:ind w:left="700" w:hanging="402"/>
        <w:spacing w:after="0" w:line="261"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leverage our potential and our future growth depends on attracting, hiring and retaining our key personnel and recruiting additional qualified personnel. If we are not successful in attracting, motivating and retaining highly qualified personnel, we may not be able to successfully implement our business strategy. Additionally, we will need to grow the size of our organization, and we may experience difficulties in managing this growth.</w:t>
      </w:r>
    </w:p>
    <w:p>
      <w:pPr>
        <w:spacing w:after="0" w:line="85" w:lineRule="exact"/>
        <w:rPr>
          <w:rFonts w:ascii="Times New Roman" w:cs="Times New Roman" w:eastAsia="Times New Roman" w:hAnsi="Times New Roman"/>
          <w:sz w:val="18"/>
          <w:szCs w:val="18"/>
          <w:color w:val="auto"/>
        </w:rPr>
      </w:pPr>
    </w:p>
    <w:p>
      <w:pPr>
        <w:jc w:val="both"/>
        <w:ind w:left="700" w:hanging="402"/>
        <w:spacing w:after="0" w:line="266"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81" w:lineRule="exact"/>
        <w:rPr>
          <w:rFonts w:ascii="Times New Roman" w:cs="Times New Roman" w:eastAsia="Times New Roman" w:hAnsi="Times New Roman"/>
          <w:sz w:val="18"/>
          <w:szCs w:val="18"/>
          <w:color w:val="auto"/>
        </w:rPr>
      </w:pPr>
    </w:p>
    <w:p>
      <w:pPr>
        <w:jc w:val="both"/>
        <w:ind w:left="700" w:right="20" w:hanging="402"/>
        <w:spacing w:after="0" w:line="266"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and in the future may depend on other third-party collaborators for the discovery, development and commercialization of ficerafusp alfa and any of our future product candidates. If our collaborations are not successful, we may not be able to capitalize on the market potential of these product candidates.</w:t>
      </w:r>
    </w:p>
    <w:p>
      <w:pPr>
        <w:spacing w:after="0" w:line="81" w:lineRule="exact"/>
        <w:rPr>
          <w:rFonts w:ascii="Times New Roman" w:cs="Times New Roman" w:eastAsia="Times New Roman" w:hAnsi="Times New Roman"/>
          <w:sz w:val="18"/>
          <w:szCs w:val="18"/>
          <w:color w:val="auto"/>
        </w:rPr>
      </w:pPr>
    </w:p>
    <w:p>
      <w:pPr>
        <w:ind w:left="700" w:right="20" w:hanging="402"/>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demonstrated an ability to generate revenue, obtain regulatory approval, manufacture any product on a commercial scale or arrange for a third party to do so on our behalf or conduct sales and marketing activities necessary for successful product commercialization.</w:t>
      </w:r>
    </w:p>
    <w:p>
      <w:pPr>
        <w:spacing w:after="0" w:line="160"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other information set forth in this prospectus, including our consolidated financial statements and the related notes, as well as in other documents that we file with the Securities and Exchange Commission, or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December 12, 2018 under the name “Bicara Therapeutics Inc.” Our principal corporate office is located at 116 Huntington Avenue, Suite 703, Boston, MA 02116, and our telephone number is 617-468-4219. We have one subsidiary, Bicara Securities Corporation, formed in October 2023 under the laws of the Commonwealth of Massachusetts. Our website address is www.bicara.com. We do not incorporate the information on or accessible through our website into this prospectus, and you should not consider any information on, or that can be accessed through, our website as part of this prospectus. We have included our website address in this prospectus solely as an inactive textual reference.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64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jc w:val="both"/>
        <w:ind w:left="1240" w:hanging="523"/>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disclosure;</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or the Sarbanes-Oxley Act; and</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62" w:lineRule="exact"/>
        <w:rPr>
          <w:sz w:val="20"/>
          <w:szCs w:val="20"/>
          <w:color w:val="auto"/>
        </w:rPr>
      </w:pPr>
    </w:p>
    <w:p>
      <w:pPr>
        <w:jc w:val="both"/>
        <w:ind w:left="300" w:firstLine="426"/>
        <w:spacing w:after="0" w:line="252"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these elections, the information that we provide in this prospectus including our financial statements,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96"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until the fiscal year following the determination that (i) our voting and non-voting common stock held by non-affiliates is $250 million or more, measured on the last business day of our second fiscal quarter, or</w:t>
      </w:r>
    </w:p>
    <w:p>
      <w:pPr>
        <w:spacing w:after="0" w:line="3" w:lineRule="exact"/>
        <w:rPr>
          <w:sz w:val="20"/>
          <w:szCs w:val="20"/>
          <w:color w:val="auto"/>
        </w:rPr>
      </w:pPr>
    </w:p>
    <w:p>
      <w:pPr>
        <w:ind w:left="300" w:hanging="2"/>
        <w:spacing w:after="0" w:line="26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$100 million or more, during the most recently completed fiscal year and our voting and non-voting common stock held by non-affiliates is $700 million or more, measured on the last business day of our second fiscal quarter.</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offered</w:t>
      </w:r>
    </w:p>
    <w:p>
      <w:pPr>
        <w:spacing w:after="0" w:line="266" w:lineRule="exact"/>
        <w:rPr>
          <w:sz w:val="20"/>
          <w:szCs w:val="20"/>
          <w:color w:val="auto"/>
        </w:rPr>
      </w:pPr>
    </w:p>
    <w:p>
      <w:pPr>
        <w:ind w:left="380" w:right="180" w:hanging="69"/>
        <w:spacing w:after="0" w:line="282" w:lineRule="auto"/>
        <w:rPr>
          <w:sz w:val="20"/>
          <w:szCs w:val="20"/>
          <w:color w:val="auto"/>
        </w:rPr>
      </w:pPr>
      <w:r>
        <w:rPr>
          <w:rFonts w:ascii="Times New Roman" w:cs="Times New Roman" w:eastAsia="Times New Roman" w:hAnsi="Times New Roman"/>
          <w:sz w:val="18"/>
          <w:szCs w:val="18"/>
          <w:color w:val="auto"/>
        </w:rPr>
        <w:t>Underwriters’ option to purchase additional shares</w:t>
      </w:r>
    </w:p>
    <w:p>
      <w:pPr>
        <w:spacing w:after="0" w:line="200" w:lineRule="exact"/>
        <w:rPr>
          <w:sz w:val="20"/>
          <w:szCs w:val="20"/>
          <w:color w:val="auto"/>
        </w:rPr>
      </w:pPr>
    </w:p>
    <w:p>
      <w:pPr>
        <w:spacing w:after="0" w:line="205" w:lineRule="exact"/>
        <w:rPr>
          <w:sz w:val="20"/>
          <w:szCs w:val="20"/>
          <w:color w:val="auto"/>
        </w:rPr>
      </w:pPr>
    </w:p>
    <w:p>
      <w:pPr>
        <w:ind w:left="380" w:hanging="69"/>
        <w:spacing w:after="0" w:line="282"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14,705,882 shares.</w:t>
      </w:r>
    </w:p>
    <w:p>
      <w:pPr>
        <w:spacing w:after="0" w:line="26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granted a 30-day option to the underwriters to purchase up to 2,205,882 additional shares of common stock from us at the public offering price, less underwriting discounts and commissions on the same terms as set forth in this prospectus.</w:t>
      </w:r>
    </w:p>
    <w:p>
      <w:pPr>
        <w:spacing w:after="0" w:line="203"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48,966,807 shares (or 51,172,689 shares if the underwriters exercise their option to purchase additional shares of common stock in full).</w:t>
      </w:r>
    </w:p>
    <w:p>
      <w:pPr>
        <w:spacing w:after="0" w:line="202"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We estimate that the net proceeds from the sale of shares of our common stock in this offering will be approximately $228.4 million, or $263.2 million if the underwriters exercise their option to purchase additional shares of common stock in full, assuming an initial public offering price of $17.00 per share, which is the midpoint of the estimated offering price range set forth on the cover page of this prospectus, and after deducting estimated underwriting discounts and commissions and estimated offering expenses payable by us. The principal purposes of this offering are to create a public market for our common stock and thereby facilitate future access to the public equity markets, increase our visibility in the marketplace and obtain additional capital. We currently intend to use the net proceeds from this offering, together with our existing cash and cash equivalents, for the following: (i) advance the development of ficerafusp alfa in head and neck squamous cell carcinoma, or HNSCC, and fund our pivotal Phase 2/3 trial for the filing of a Biologics License Application; (ii) fund expansion of ficerafusp alfa development in additional HNSCC patient populations such as those with combined positive scores less than one and locally advanced HNSCC; (iii) advance the development of ficerafusp alfa in additional solid tumors, such as colorectal cancer and other squamous cell carcinomas including the initiation of clinical trials, clinical research outsourcing and drug manufacturing; and (iv) the remainder for working capital and other general corporate purposes. See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79 for additional information.</w:t>
      </w:r>
    </w:p>
    <w:p>
      <w:pPr>
        <w:spacing w:after="0" w:line="200" w:lineRule="exact"/>
        <w:rPr>
          <w:sz w:val="20"/>
          <w:szCs w:val="20"/>
          <w:color w:val="auto"/>
        </w:rPr>
      </w:pPr>
    </w:p>
    <w:p>
      <w:pPr>
        <w:sectPr>
          <w:pgSz w:w="11900" w:h="16838" w:orient="portrait"/>
          <w:cols w:equalWidth="0" w:num="2">
            <w:col w:w="3620" w:space="280"/>
            <w:col w:w="7240"/>
          </w:cols>
          <w:pgMar w:left="320" w:top="455" w:right="439" w:bottom="1440" w:gutter="0" w:footer="0" w:header="0"/>
          <w:type w:val="continuous"/>
        </w:sectPr>
      </w:pP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Directed share program</w:t>
            </w: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 our request, the underwriters have reserved up to 735,294 shares, or 5% of the shares being</w:t>
            </w:r>
          </w:p>
        </w:tc>
      </w:tr>
      <w:tr>
        <w:trPr>
          <w:trHeight w:val="216"/>
        </w:trPr>
        <w:tc>
          <w:tcPr>
            <w:tcW w:w="2840" w:type="dxa"/>
            <w:vAlign w:val="bottom"/>
          </w:tcPr>
          <w:p>
            <w:pPr>
              <w:spacing w:after="0"/>
              <w:rPr>
                <w:sz w:val="18"/>
                <w:szCs w:val="18"/>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offered by this prospectus, for sale, at the initial public offering price, to certain of our directors,</w:t>
            </w:r>
          </w:p>
        </w:tc>
      </w:tr>
      <w:tr>
        <w:trPr>
          <w:trHeight w:val="216"/>
        </w:trPr>
        <w:tc>
          <w:tcPr>
            <w:tcW w:w="2840" w:type="dxa"/>
            <w:vAlign w:val="bottom"/>
          </w:tcPr>
          <w:p>
            <w:pPr>
              <w:spacing w:after="0"/>
              <w:rPr>
                <w:sz w:val="18"/>
                <w:szCs w:val="18"/>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officers, employees and persons having business relationships with us. The number of shares of</w:t>
            </w:r>
          </w:p>
        </w:tc>
      </w:tr>
      <w:tr>
        <w:trPr>
          <w:trHeight w:val="216"/>
        </w:trPr>
        <w:tc>
          <w:tcPr>
            <w:tcW w:w="2840" w:type="dxa"/>
            <w:vAlign w:val="bottom"/>
          </w:tcPr>
          <w:p>
            <w:pPr>
              <w:spacing w:after="0"/>
              <w:rPr>
                <w:sz w:val="18"/>
                <w:szCs w:val="18"/>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common stock available for sale to the general public will be reduced to the extent these parties</w:t>
            </w:r>
          </w:p>
        </w:tc>
      </w:tr>
      <w:tr>
        <w:trPr>
          <w:trHeight w:val="216"/>
        </w:trPr>
        <w:tc>
          <w:tcPr>
            <w:tcW w:w="2840" w:type="dxa"/>
            <w:vAlign w:val="bottom"/>
          </w:tcPr>
          <w:p>
            <w:pPr>
              <w:spacing w:after="0"/>
              <w:rPr>
                <w:sz w:val="18"/>
                <w:szCs w:val="18"/>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purchase any of such reserved shares. Any reserved shares of common stock that are not so</w:t>
            </w:r>
          </w:p>
        </w:tc>
      </w:tr>
      <w:tr>
        <w:trPr>
          <w:trHeight w:val="214"/>
        </w:trPr>
        <w:tc>
          <w:tcPr>
            <w:tcW w:w="2840" w:type="dxa"/>
            <w:vAlign w:val="bottom"/>
          </w:tcPr>
          <w:p>
            <w:pPr>
              <w:spacing w:after="0"/>
              <w:rPr>
                <w:sz w:val="18"/>
                <w:szCs w:val="18"/>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purchased will be offered by the underwriters to the general public on the same terms as the other</w:t>
            </w:r>
          </w:p>
        </w:tc>
      </w:tr>
      <w:tr>
        <w:trPr>
          <w:trHeight w:val="216"/>
        </w:trPr>
        <w:tc>
          <w:tcPr>
            <w:tcW w:w="2840" w:type="dxa"/>
            <w:vAlign w:val="bottom"/>
          </w:tcPr>
          <w:p>
            <w:pPr>
              <w:spacing w:after="0"/>
              <w:rPr>
                <w:sz w:val="18"/>
                <w:szCs w:val="18"/>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shares offered by this prospectus. Please see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Directed Share</w:t>
            </w:r>
          </w:p>
        </w:tc>
      </w:tr>
      <w:tr>
        <w:trPr>
          <w:trHeight w:val="236"/>
        </w:trPr>
        <w:tc>
          <w:tcPr>
            <w:tcW w:w="2840" w:type="dxa"/>
            <w:vAlign w:val="bottom"/>
          </w:tcPr>
          <w:p>
            <w:pPr>
              <w:spacing w:after="0"/>
              <w:rPr>
                <w:sz w:val="20"/>
                <w:szCs w:val="20"/>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color w:val="auto"/>
              </w:rPr>
              <w:t>” for additional information.</w:t>
            </w:r>
          </w:p>
        </w:tc>
      </w:tr>
      <w:tr>
        <w:trPr>
          <w:trHeight w:val="441"/>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You should carefully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for a discussion of factors</w:t>
            </w:r>
          </w:p>
        </w:tc>
      </w:tr>
      <w:tr>
        <w:trPr>
          <w:trHeight w:val="234"/>
        </w:trPr>
        <w:tc>
          <w:tcPr>
            <w:tcW w:w="2840" w:type="dxa"/>
            <w:vAlign w:val="bottom"/>
          </w:tcPr>
          <w:p>
            <w:pPr>
              <w:spacing w:after="0"/>
              <w:rPr>
                <w:sz w:val="20"/>
                <w:szCs w:val="20"/>
                <w:color w:val="auto"/>
              </w:rPr>
            </w:pPr>
          </w:p>
        </w:tc>
        <w:tc>
          <w:tcPr>
            <w:tcW w:w="8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that you should consider before deciding to invest in our common stock.</w:t>
            </w:r>
          </w:p>
        </w:tc>
      </w:tr>
      <w:tr>
        <w:trPr>
          <w:trHeight w:val="172"/>
        </w:trPr>
        <w:tc>
          <w:tcPr>
            <w:tcW w:w="284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tcPr>
          <w:p>
            <w:pPr>
              <w:spacing w:after="0"/>
              <w:rPr>
                <w:sz w:val="14"/>
                <w:szCs w:val="14"/>
                <w:color w:val="auto"/>
              </w:rPr>
            </w:pPr>
          </w:p>
        </w:tc>
      </w:tr>
      <w:tr>
        <w:trPr>
          <w:trHeight w:val="361"/>
        </w:trPr>
        <w:tc>
          <w:tcPr>
            <w:tcW w:w="2840" w:type="dxa"/>
            <w:vAlign w:val="bottom"/>
          </w:tcPr>
          <w:p>
            <w:pPr>
              <w:spacing w:after="0"/>
              <w:rPr>
                <w:sz w:val="24"/>
                <w:szCs w:val="24"/>
                <w:color w:val="auto"/>
              </w:rPr>
            </w:pPr>
          </w:p>
        </w:tc>
        <w:tc>
          <w:tcPr>
            <w:tcW w:w="8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04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tabs>
          <w:tab w:leader="none" w:pos="3880" w:val="left"/>
        </w:tabs>
        <w:rPr>
          <w:sz w:val="20"/>
          <w:szCs w:val="20"/>
          <w:color w:val="auto"/>
        </w:rPr>
      </w:pPr>
      <w:r>
        <w:rPr>
          <w:rFonts w:ascii="Times New Roman" w:cs="Times New Roman" w:eastAsia="Times New Roman" w:hAnsi="Times New Roman"/>
          <w:sz w:val="18"/>
          <w:szCs w:val="18"/>
          <w:color w:val="auto"/>
        </w:rPr>
        <w:t>Proposed Nasdaq Global Market symbol</w:t>
      </w:r>
      <w:r>
        <w:rPr>
          <w:sz w:val="20"/>
          <w:szCs w:val="20"/>
          <w:color w:val="auto"/>
        </w:rPr>
        <w:tab/>
      </w:r>
      <w:r>
        <w:rPr>
          <w:rFonts w:ascii="Times New Roman" w:cs="Times New Roman" w:eastAsia="Times New Roman" w:hAnsi="Times New Roman"/>
          <w:sz w:val="17"/>
          <w:szCs w:val="17"/>
          <w:color w:val="auto"/>
        </w:rPr>
        <w:t>BCAX</w:t>
      </w:r>
    </w:p>
    <w:p>
      <w:pPr>
        <w:spacing w:after="0" w:line="239"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34,260,925 shares of our common stock (which includes 14,006 shares of unvested restricted common stock and 12,502 shares of unvested early exercise stock options) outstanding as of June 30, 2024, after giving effect to the automatic conversion of all outstanding shares of our redeemable convertible preferred stock into an aggregate of 33,210,876 shares of our common stock immediately prior to the completion of this offering, and excludes:</w:t>
      </w:r>
    </w:p>
    <w:p>
      <w:pPr>
        <w:spacing w:after="0" w:line="85" w:lineRule="exact"/>
        <w:rPr>
          <w:sz w:val="20"/>
          <w:szCs w:val="20"/>
          <w:color w:val="auto"/>
        </w:rPr>
      </w:pPr>
    </w:p>
    <w:p>
      <w:pPr>
        <w:jc w:val="both"/>
        <w:ind w:left="1240" w:hanging="523"/>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4,608,707 shares of common stock issuable upon the exercise of stock options outstanding as of June 30, 2024 under our 2019 Stock Option and Grant Plan, as amended, or 2019 Plan (which number excludes 12,502 shares of unvested early exercise stock options), at a weighted average exercise price of $4.62 per share;</w:t>
      </w:r>
    </w:p>
    <w:p>
      <w:pPr>
        <w:spacing w:after="0" w:line="81"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3,240,096 shares of common stock issuable upon the exercise of stock options granted after June 30, 2024 pursuant to our 2019 Plan, at a weighted average exercise price of $9.24 per share;</w:t>
      </w:r>
    </w:p>
    <w:p>
      <w:pPr>
        <w:spacing w:after="0" w:line="67" w:lineRule="exact"/>
        <w:rPr>
          <w:rFonts w:ascii="Times New Roman" w:cs="Times New Roman" w:eastAsia="Times New Roman" w:hAnsi="Times New Roman"/>
          <w:sz w:val="18"/>
          <w:szCs w:val="18"/>
          <w:color w:val="auto"/>
        </w:rPr>
      </w:pPr>
    </w:p>
    <w:p>
      <w:pPr>
        <w:jc w:val="both"/>
        <w:ind w:left="1240" w:hanging="523"/>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338,126 shares of common stock reserved for future issuance as of June 30, 2024 under the 2019 Plan (which number was reduced to 73,076 after giving effect to (i) a plan amendment approved and adopted by the Board and shareholders of the Company after June 30, 2024 and (ii) the issuance of options to purchase up to 3,240,096 shares of common stock granted after June 30, 2024), which shares will cease to be available for issuance at the time our 2024 Stock Option and Grant Plan, or 2024 Plan, becomes effective;</w:t>
      </w:r>
    </w:p>
    <w:p>
      <w:pPr>
        <w:spacing w:after="0" w:line="85" w:lineRule="exact"/>
        <w:rPr>
          <w:rFonts w:ascii="Times New Roman" w:cs="Times New Roman" w:eastAsia="Times New Roman" w:hAnsi="Times New Roman"/>
          <w:sz w:val="18"/>
          <w:szCs w:val="18"/>
          <w:color w:val="auto"/>
        </w:rPr>
      </w:pPr>
    </w:p>
    <w:p>
      <w:pPr>
        <w:jc w:val="both"/>
        <w:ind w:left="1240" w:hanging="523"/>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507,383 shares of common stock reserved for future issuance under our 2024 Employee Stock Purchase Plan, or ESPP, which will become effective on the date immediately prior to the effectiveness of the registration statement of which this prospectus forms a part, as well as any automatic increases in the number of shares of common stock reserved for future issuance under the ESPP; and</w:t>
      </w:r>
    </w:p>
    <w:p>
      <w:pPr>
        <w:spacing w:after="0" w:line="81" w:lineRule="exact"/>
        <w:rPr>
          <w:rFonts w:ascii="Times New Roman" w:cs="Times New Roman" w:eastAsia="Times New Roman" w:hAnsi="Times New Roman"/>
          <w:sz w:val="18"/>
          <w:szCs w:val="18"/>
          <w:color w:val="auto"/>
        </w:rPr>
      </w:pPr>
    </w:p>
    <w:p>
      <w:pPr>
        <w:jc w:val="both"/>
        <w:ind w:left="1240" w:right="20" w:hanging="523"/>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2,453,616 shares of our common stock reserved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2019 Plan that expire or are repurchased, forfeited, cancelled, or withheld.</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the following:</w:t>
      </w:r>
    </w:p>
    <w:p>
      <w:pPr>
        <w:spacing w:after="0" w:line="131" w:lineRule="exact"/>
        <w:rPr>
          <w:sz w:val="20"/>
          <w:szCs w:val="20"/>
          <w:color w:val="auto"/>
        </w:rPr>
      </w:pPr>
    </w:p>
    <w:p>
      <w:pPr>
        <w:ind w:left="1240" w:right="2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306,985,117 outstanding shares of our redeemable convertible preferred stock into an aggregate of 33,210,876 shares of common stock immediately prior to the closing of this offering;</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 after June 30, 2024;</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up to 2,205,882 additional shares of common stock in this offering;</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one-for-9.2435 reverse stock split of our common stock, effected on September 5, 2024; and</w:t>
      </w:r>
    </w:p>
    <w:p>
      <w:pPr>
        <w:spacing w:after="0" w:line="130" w:lineRule="exact"/>
        <w:rPr>
          <w:rFonts w:ascii="Times New Roman" w:cs="Times New Roman" w:eastAsia="Times New Roman" w:hAnsi="Times New Roman"/>
          <w:sz w:val="18"/>
          <w:szCs w:val="18"/>
          <w:color w:val="auto"/>
        </w:rPr>
      </w:pPr>
    </w:p>
    <w:p>
      <w:pPr>
        <w:jc w:val="both"/>
        <w:ind w:left="1240" w:hanging="523"/>
        <w:spacing w:after="0" w:line="266"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fifth amended and restated certificate of incorporation immediately prior to the closing of this offering and the effectiveness of our amended and restated bylaws upon the effectiveness of the registration statement of which this prospectus is a part.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9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7" w:lineRule="exact"/>
        <w:rPr>
          <w:sz w:val="20"/>
          <w:szCs w:val="20"/>
          <w:color w:val="auto"/>
        </w:rPr>
      </w:pPr>
    </w:p>
    <w:p>
      <w:pPr>
        <w:jc w:val="both"/>
        <w:ind w:left="300" w:right="200" w:firstLine="42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table sets forth our statements of operations for the years ended December 31, 2023 and 2022 and for the six months ended June 30, 2024 and 2023 and our summary consolidated balance sheet data as of June 30, 2024. The summary consolidated statements of operations data for the years ended December 31, 2023 and 2022 have been derived from our audited consolidated financial statements included elsewhere in this prospectus. The summary condensed consolidated statements of operations data for the six months ended June 30, 2024 and 2023 and summary condensed consolidated balance sheet data as of June 30, 2024 have been derived from our unaudited condensed consolidated financial statements included elsewhere in this prospectus. Our historical results are not necessarily indicative of the results that should be expected in any future periods, and our interim results are not necessarily indicative of the results that may be expected for the full year or any other period. Our unaudited interim financial statements were prepared on the same basis as our audited financial statements and include, in the opinion of management, all adjustments, consisting of normal recurring adjustments, that are necessary for the fair statement of the financial information set forth in those financial statements.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costs—related party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3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(37,656)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expense—related party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miscellaneous expense,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(37,844)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(51,985)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(37,845)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(29,557)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common shares outstanding, basic and diluted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429,084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774,012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546,171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180"/>
              <w:spacing w:after="0" w:line="250" w:lineRule="exact"/>
              <w:rPr>
                <w:sz w:val="20"/>
                <w:szCs w:val="20"/>
                <w:color w:val="auto"/>
              </w:rPr>
            </w:pPr>
            <w:r>
              <w:rPr>
                <w:rFonts w:ascii="Times New Roman" w:cs="Times New Roman" w:eastAsia="Times New Roman" w:hAnsi="Times New Roman"/>
                <w:sz w:val="18"/>
                <w:szCs w:val="18"/>
                <w:color w:val="auto"/>
              </w:rPr>
              <w:t>Pro forma net loss per common share, basic and diluted</w:t>
            </w:r>
            <w:r>
              <w:rPr>
                <w:rFonts w:ascii="Times New Roman" w:cs="Times New Roman" w:eastAsia="Times New Roman" w:hAnsi="Times New Roman"/>
                <w:sz w:val="26"/>
                <w:szCs w:val="26"/>
                <w:color w:val="auto"/>
                <w:vertAlign w:val="superscript"/>
              </w:rPr>
              <w:t>(1)</w:t>
            </w:r>
          </w:p>
        </w:tc>
        <w:tc>
          <w:tcPr>
            <w:tcW w:w="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59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weighted-average number of common shares outstanding, basic and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92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15,440,460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33,984,930</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61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178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1789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00" w:type="dxa"/>
            <w:vAlign w:val="bottom"/>
          </w:tcPr>
          <w:p>
            <w:pPr>
              <w:spacing w:after="0"/>
              <w:rPr>
                <w:sz w:val="10"/>
                <w:szCs w:val="10"/>
                <w:color w:val="auto"/>
              </w:rPr>
            </w:pPr>
          </w:p>
        </w:tc>
        <w:tc>
          <w:tcPr>
            <w:tcW w:w="13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460" w:type="dxa"/>
            <w:vAlign w:val="bottom"/>
          </w:tcPr>
          <w:p>
            <w:pPr>
              <w:spacing w:after="0"/>
              <w:rPr>
                <w:sz w:val="10"/>
                <w:szCs w:val="10"/>
                <w:color w:val="auto"/>
              </w:rPr>
            </w:pPr>
          </w:p>
        </w:tc>
        <w:tc>
          <w:tcPr>
            <w:tcW w:w="100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540" w:type="dxa"/>
            <w:vAlign w:val="bottom"/>
            <w:tcBorders>
              <w:top w:val="single" w:sz="8" w:color="auto"/>
            </w:tcBorders>
            <w:gridSpan w:val="5"/>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(Unaudited, in thousands except shares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203,855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 203,855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 432,224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(3)</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190,011</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190,011</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208,784</w:t>
            </w:r>
          </w:p>
        </w:tc>
        <w:tc>
          <w:tcPr>
            <w:tcW w:w="500" w:type="dxa"/>
            <w:vAlign w:val="bottom"/>
          </w:tcPr>
          <w:p>
            <w:pPr>
              <w:spacing w:after="0"/>
              <w:rPr>
                <w:sz w:val="18"/>
                <w:szCs w:val="18"/>
                <w:color w:val="auto"/>
              </w:rPr>
            </w:pPr>
          </w:p>
        </w:tc>
        <w:tc>
          <w:tcPr>
            <w:tcW w:w="136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208,784</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367,277</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(174,776)</w:t>
            </w:r>
          </w:p>
        </w:tc>
        <w:tc>
          <w:tcPr>
            <w:tcW w:w="500" w:type="dxa"/>
            <w:vAlign w:val="bottom"/>
          </w:tcPr>
          <w:p>
            <w:pPr>
              <w:spacing w:after="0"/>
              <w:rPr>
                <w:sz w:val="20"/>
                <w:szCs w:val="20"/>
                <w:color w:val="auto"/>
              </w:rPr>
            </w:pPr>
          </w:p>
        </w:tc>
        <w:tc>
          <w:tcPr>
            <w:tcW w:w="136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192,501</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720" w:hanging="422"/>
        <w:spacing w:after="0" w:line="255"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automatic conversion of all 306,985,117 outstanding shares of our redeemable convertible preferred stock in the aggregate into an aggregate of 33,210,876 shares of our common stock immediately prior to the completion of this offering, and the filing and effectiveness of our fifth amended and restated certificate of incorporation, which will occur immediately prior to the completion of this offering.</w:t>
      </w:r>
    </w:p>
    <w:p>
      <w:pPr>
        <w:spacing w:after="0" w:line="2" w:lineRule="exact"/>
        <w:rPr>
          <w:rFonts w:ascii="Times New Roman" w:cs="Times New Roman" w:eastAsia="Times New Roman" w:hAnsi="Times New Roman"/>
          <w:sz w:val="18"/>
          <w:szCs w:val="18"/>
          <w:color w:val="auto"/>
        </w:rPr>
      </w:pPr>
    </w:p>
    <w:p>
      <w:pPr>
        <w:jc w:val="both"/>
        <w:ind w:left="72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(i) the pro forma adjustments set forth in footnote (1) above and (ii) the issuance and sale of 14,705,882 shares of our common stock in this offering at an assumed initial public offering price of $17.00 per share, which is the midpoint of the estimated offering price range set forth on the cover page of this prospectus, after deducting estimated underwriting discounts and commissions and estimated offering expenses payable by us. Pro forma as adjusted balance sheet data is illustrative only and will change based on the actual initial public offering price and other terms of this offering determined at pricing. Each $1.00 increase (decrease) in the assumed initial public offering price of $17.00 per share, which is the midpoint of the estimated offering price range set forth on the cover page of this prospectus, would increase (decrease) the pro forma as adjusted amount of each of cash and cash equivalents, working capital, total assets and total stockholders’ (deficit) equity by approximately $13.7 million, assuming that the number of shares offered by us, as set forth on the cover page of this prospectus, remains the same, and after deducting estimated underwriting discounts and commissions and estimated offering expenses payable by us. Each increase (decrease) of 1.0 million shares in the number of shares offered by us, as set forth on the cover page of this prospectus, would increase (decrease) the pro forma as adjusted amount of each of cash and cash equivalents, working capital, total assets and total stockholders’ (deficit) equity by approximately $15.8 million, assuming no change in the assumed initial public offering price per share, and after deducting estimated underwriting discounts and commissions and estimated offering expenses payable by us.</w:t>
      </w:r>
    </w:p>
    <w:p>
      <w:pPr>
        <w:spacing w:after="0" w:line="5" w:lineRule="exact"/>
        <w:rPr>
          <w:rFonts w:ascii="Times New Roman" w:cs="Times New Roman" w:eastAsia="Times New Roman" w:hAnsi="Times New Roman"/>
          <w:sz w:val="18"/>
          <w:szCs w:val="18"/>
          <w:color w:val="auto"/>
        </w:rPr>
      </w:pPr>
    </w:p>
    <w:p>
      <w:pPr>
        <w:ind w:left="720" w:right="20" w:hanging="422"/>
        <w:spacing w:after="0" w:line="26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the other information in this prospectus, including our consolidated financial statements and the related notes appearing elsewhere in this prospectus and the section titled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w:t>
      </w:r>
    </w:p>
    <w:p>
      <w:pPr>
        <w:spacing w:after="0" w:line="18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also contains forward-looking statements and estimates that involve risks and uncertainties not presently known to us or that we currently deem immaterial also may impair our business operations. Our actual results could differ materially from those anticipated in our forward-looking statements as a result of specific factors, including the risks and uncertainties described below.</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117"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6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were formed in December 2018, and our operations to date have been limited to pre-commercial activities. We have not yet demonstrated an ability to generate revenue, obtain regulatory approval,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$52.0 million and $37.8 million for the years ended December 31, 2023 and 2022, respectively, and $29.6 million and $16.7 million for the six months ended June 30, 2024 and 2023, respectively. As of June 30, 2024, we have not yet generated revenues. We expect to continue to incur significant losses for the foreseeable future, and we expect these losses to increase as we continue our research and development of, and seek regulatory approvals for, ficerafusp alfa.</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ficerafusp alfa through clinical development;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ficerafusp alfa and any future our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ficerafusp alfa and any future product candidate;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to establish sales, marketing and distribution capabilities;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any future product candidates into clinical development; seek to identify, acquire and develop additional product candidates,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due under our license agreements and any potential milestones, royalties or other payments due under any future in-license or collaboration agreements;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interest or other payments due under any future financing or other arrangements with third parties.</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U.S. Food and Drug Administration, or the FDA, Health Canada, the European Medicines Agency, or the EMA,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ficerafusp alfa. Even if ficerafusp alfa or any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ficerafusp alfa, continue to develop and deploy our bifunctional approach, commence additional preclinical studies and clinical trials, and continue to identify and develop additional product candidates either through internal development or through acquisitions or in-licensing product candidates.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and June 30, 2024, we had $230.4 million and $203.9 million of cash and cash equivalents, respectively. Based upon our current operating plan, we believe that our existing cash and cash equivalents, together with the estimated net proceeds from this offering, will enable us to fund our operating expenses and capital expenditure requirements through at least the next 12 months. In addition, based upon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current operating plan, we believe that the net proceeds from this offering together with our existing cash and cash equivalents will enable us to fund our operating expenses and capital expenditure requirements into the first half of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ficerafusp alfa. Our future capital requirements will depend on many factors, including but not limited to:</w:t>
      </w:r>
    </w:p>
    <w:p>
      <w:pPr>
        <w:spacing w:after="0" w:line="94" w:lineRule="exact"/>
        <w:rPr>
          <w:sz w:val="20"/>
          <w:szCs w:val="20"/>
          <w:color w:val="auto"/>
        </w:rPr>
      </w:pPr>
    </w:p>
    <w:p>
      <w:pPr>
        <w:ind w:left="1080" w:right="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ficerafusp alfa or any future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ficerafusp alfa or future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ficerafusp alfa or any future product candidates;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ficerafusp alfa or any future product candidates;</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approach at identifying target patient populations and utilizing our approach to enrich our patient population in our clinical trials;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and rising interest rates;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 products and technologies.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ficerafusp alfa, we expect to incur significant commercialization expenses related to product manufacturing, marketing, sales and distribution which make it difficult to predict when or if we will be able to achieve or maintain profitability. Furthermore, upon the completion of this offering, we expect to incur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ficerafusp alfa.</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with our existing cash and cash equivalents, the net proceeds from this offering, short-term investments, or any future equity or debt financings and upfront and milestone and royalties payments, if any, received under any future licenses or collaborations. In the future,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188"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marketing, distribution or licensing arrangements with third parties in the future,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spacing w:after="0" w:line="16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25"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ficerafusp alfa. If we are unable to successfully complete clinical development, obtain regulatory approval for or commercialize ficerafusp alfa, or if we experience delays in doing so, our business will be materially harmed.</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candidates and ficerafusp alfa remains in clinical or preclinical development. Our future success and ability to generate revenue from ficerafusp alfa is dependent on our ability to successfully develop and commercialize ficerafusp alfa or any of our future product candidates. If any of our product candidates encounters safety or efficacy problems, development delays or regulatory issues or other problems, our development plans and business would be materially harmed.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ficerafusp alfa if we experience any issues that delay or prevent regulatory approval of, or our ability to commercialize, ficerafusp alfa,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Health Canada, EMA or other comparable regulatory authorities that ficerafusp alfa is safe and effective;</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the necessary approvals from regulators to commence a clinical trial or a suspension, termination, or hold, of a clinical trial once commenced;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Health Canada, the EMA or other comparable regulatory authorities regarding the scope or design of our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in reaching agreement on acceptable terms with clinical trial sites or contract research organizations, or CROs;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ficerafusp alfa during clinical trials;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Health Canada, EMA or other comparable regulatory authority inspection and review of our clinical trial sites;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CROs, clinical trial sites, or investigators to comply with regulatory requirements or the clinical trial protocol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Health Canada, EMA and other comparable regulatory authorities.</w:t>
      </w:r>
    </w:p>
    <w:p>
      <w:pPr>
        <w:spacing w:after="0" w:line="329"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ficerafusp alfa or any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Health Canada, the EMA or other regulatory approval or discovering, developing and commercializing products in our field before we do, which could result in our competitors establishing a strong market position before we are able to enter the market.</w:t>
      </w:r>
    </w:p>
    <w:p>
      <w:pPr>
        <w:spacing w:after="0" w:line="19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competitors may obtain FDA, Health Canada, the EMA or other regulatory approval of their product candidates more rapidly than we may or may obtain patent protection or other intellectual property rights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limit our ability to develop or commercialize ficerafusp alfa. Our competitors may also develop drugs or discovery platforms that are more effective, more convenient, more widely used or less costly than ficerafusp alfa or, in the case of drugs, have a better safety profile than ficerafusp alfa. These competitors may also be more successful than us in manufacturing and marketing their products and have significantly greater financial resources and expertise in research and development.</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are a large number of companies developing or marketing treatments for cancer, including many major pharmaceutical and biotechnology companies. In addition, numerous compounds are in clinical development for cancer treatment. Many of these companies are well-capitalized and have significant clinical experience. More specifically, we expect to compete with commercially available therapies for the treatment of head and neck squamous cell carcinoma, or HNSCC, including pembrolizumab (marketed as Keytruda by Merck &amp; Co); the combination of pembrolizumab, platinum chemotherapy and 5-fluorouracil; and the combination of cetuximab (marketed as Erbitux by Eli Lilly in the US and by Merck KGaA outside of the US), platinum chemotherapy and 5-fluorouracil. In addition, there are numerous companies that are developing new treatments for HNSCC, including Merck &amp; Co, Pfizer Inc., Genmab A/S, Exelixis, Inc., Merus N.V., Iovance Biotherapeutics, Inc., Kura Oncology, Inc. and ALX Oncology Holdings, Inc.</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ficerafusp alfa and any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ficerafusp alfa obsolete, less competitive or uneconomical.</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ficerafusp alfa. Even if ficerafusp alfa achieves marketing approval, it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29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6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lead program, ficerafusp alfa, is initially being developed in HNSCC. We intend to initiate a pivotal Phase 2/3 trial of ficerafusp alfa in combination with pembrolizumab as a first-line therapy in recurrent/metastatic HNSCC excluding patients with HPV-positive oropharyngeal squamous cell carcinoma, or OPSCC, and, more generally, we seek to bring transformative bifunctional therapies to patients with solid tumors.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84"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7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w:t>
      </w:r>
    </w:p>
    <w:p>
      <w:pPr>
        <w:spacing w:after="0" w:line="89"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assimilating or integrating acquired or licensed technologies, products, employees or business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 and disruption of ongoing operations;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sales agents, health care facilities, surgeons and other health care providers;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related to investments in other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 care facilities, physicians or other health 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current and any future employees, independent contractors, consultants, contract manufacturing organizations, or CMOs, and vendors. Misconduct by these parties could include intentional, reckless, and/or negligent conduct that fails to comply with FDA, Health Canada, the EMA or other regulations, provide true, complete and accurate information to the FDA, Health Canada, EMA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w:t>
      </w:r>
    </w:p>
    <w:p>
      <w:pPr>
        <w:spacing w:after="0" w:line="29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personal information worldwide is rapidly evolving and is likely to remain uncertain for the foreseeable future. Globally, several jurisdictions, including those in which we operate or collect personal information, have established their own data security and privacy frameworks with which we must comply. In the U.S., numerous federal and state laws and regulations, including federal health information privacy laws, state information security and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service providers. In particular, regulations promulgated pursuant to HIPAA establish privacy and security standards that limit the use and disclosure of individually identifiable health information, or protected health information, and impose requirements regarding the privacy and security of individually identifiable health information, including mandatory contractual terms, for covered entities, or certain healthcare providers, health plans and healthcare clearinghouses, and their business associates that provide services to the covered entity that involve individually identifiable health information and their subcontractors that use, disclose or otherwise process individually identifiable health information. While pharmaceutical and biotechnology companies are typically not directly regulated by HIPAA, our business may be indirectly impacted by HIPAA in our interactions with providers, payors, and others that have HIPAA compliance obligations. 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U.S. Department of Health &amp; Human Services, or HHS, enforcement activity can result in financial liability and reputational harm, and responses to such enforcement activity can consume significant internal resources.</w:t>
      </w:r>
    </w:p>
    <w:p>
      <w:pPr>
        <w:spacing w:after="0" w:line="19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the state level, numerous states have or are in the process of enacting or considering comprehensive data privacy and security laws, rules and regulations while other states have focused on more narrow aspects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privacy.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the state of Washington, for example, the My Health My Data Act, which has a private right of action that further increases the relevant compliance risk, requires regulated entities to obtain consent to collect health-related information and grants consumers certain rights, including to request deletion of their information.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Although many of the existing state privacy laws exempt clinical trial information and health information governed by HIPAA, future privacy and data protection laws may be broader in scope.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conduct clinical trials in the European Economic Area, or the EEA, and/or the United Kingdom, or the U.K., we will be subject to additional, more stringent privacy laws in other jurisdictions, such as the General Data Protection Regulation, or the EU GDPR, as well as other national data protection legislation in force in relevant European Union, or EU, member states. The EU GDPR imposes strict regulations and establishes a series of requirements regarding the collection, transfer, storage and processing of personal data. Following the U.K.’s withdrawal from the EU on January 31, 2020 and the end of the transitional arrangements agreed between the U.K. and EU as of January 1, 2021, the EU GDPR has been incorporated into U.K. domestic law by virtue of section 3 of the European Union (Withdrawal) Act 2018 and amended by the Data Protection, Privacy and Electronic Communications (Amendments etc.) (EU Exit) Regulations 2019, or the U.K. GDPR, and, together with the EU GDPR, the GDPR. The GDPR is wide-ranging in scope and imposes numerous requirements on companies that process personal data, including strict requirements relating to processing of sensitive data (such as health data), ensuring there is a legal basis or condition to justify the processing of personal data, where required strict requirements relating to obtaining consent of individuals, disclosures about how personal information is to be used, limitations on retention of information, implementing safeguards to protect the security and confidentiality of personal data, where required providing notification of data breaches, maintaining records of processing activities, documenting data protection impact assessments where there is high risk processing and taking certain measures when engaging third-party processors.</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or the U.K., including the United States (see below), and permits data 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Non-compliance could also result in the imposition of orders to stop data processing activities, which could have a material adverse effect on our business, financial position and results of operations.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When subject to GDPR, we will be required to put in place mechanisms to ensure compliance, including as implemented by national laws of EU Member States which may partially deviate from the EU GDPR and impose different and more restrictive obligations from country to country.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U.K. GDPR and the U.K. Data Protection Act 2018 set out the U.K.’s data protection regime, which is independent from but, currently, aligned to the EU’s data protection regime. The European Commission, or the EC, has adopted an adequacy decision in respect of transfers of personal data to the U.K. for a four-year period (until June 27, 2025). Similarly, the U.K. has determined that it considers all of the EEA to be adequate for the purposes of data protection. This ensures that data flows between the U.K. and the EEA remain unaffected. The U.K. Government has also introduced a Data Protection and Digital Information Bill (or the UK Bill) into the UK legislative process with the intention for this bill to reform the U.K.’s data protection regime which will likely have the effect of further altering the similarities between the U.K. and EU data protection regime.</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we will be required to implement adequate safeguards to enable the transfer of personal data outside of the EEA or the U.K., in particular to the U.S., in compliance with the GDPR. In some cases, we may rely upon the EC’s approved standard contractual clauses to legitimize transfers of personal data out of the EEA from controllers or processors established outside the EEA (and not subject to the GDPR). The U.K. is not subject to the EC’s standard contractual clauses but has published its own transfer mechanism, the International Data Transfer Addendum/Agreement, which enables transfers from the U.K. Changes with respect to any of these matters may lead to additional costs and increase our overall risk exposure. The EU and U.S. have adopted its adequacy decision for the EU U.S. Data Privacy Framework, or the Framework, which entered into force on July 11, 2023. This Framework provides that the protection of personal data transferred between the EU and the U.S. is comparable to that offered in the EU. Moreover, the U.K. Government adopted the Data Protection (Adequacy) Regulations 2023, also referred to as the “UK-U.S. Data Bridge”, which, since 12 October 2023 allows companies to transfer personal data from the U.K. to the U.S. on the basis of the Framework. This provides a further avenue to ensuring transfers to the U.S. are carried out in line with GDPR. However, the long-term validity of the Framework remains uncertain and it has already been challenged before European courts.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ficerafusp alfa could be adversely affected.</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and/or confidential know-how, unpatented know-how and/or other proprietary information. We may rely on other proprietary rights, including protection of trade secrets, confidential know-how, unpatented know-how and/or other proprietary information to protect ficerafusp alfa, especially where patent protection is believed to be of limited value. However, trade secrets and/or confidential know-how are difficult to maintain as confidential. To maintain the confidentiality of this type of information, it is our policy to enter into confidentiality agreements with our employees, consultants, advisors, collaborators, contractors (including CROs), and others upon the commencement of their relationships with us. These agreements require that all confidential information developed by the individual(s) or made known to the individual by us during the course of the individual’s relationship or work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intentionally or unintentionally. Thus, despite such agreement, such inventions may become assigned to third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contractors or others use technology or know-how owned by third parties in their work for us, disputes may arise between us and those third parties as to the rights in related inventions. To the extent that an individual who is not obligated to assign rights in intellectual property to us or a current or future licensor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The disclosure of our trade secrets could impair our competitive position and may materially harm our business, financial condition and results of operations.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Enforcing a claim that a third party obtained illegally and is using trade secrets and/or confidential know-how is expensive, time consuming and unpredictable. The enforceability of confidentiality agreements and theft of trade secret claims may vary from jurisdiction to jurisdiction. Additionally, if the steps taken to maintain our trade secrets are deemed inadequate, we may have insufficient recourse against third parties for misappropriating the trade secret. As such, adequate remedies may not exist in the event of unauthorized use or disclosure of our proprietary information.</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others may independently discover or develop our trade secrets and proprietary information, and the existence of our own trade secrets affords no protection against such independent discovery. Such persons may even apply for patent protection in respect of the same. If successful in obtaining such patent protection, such persons could limit our use of our trade secrets and/or confidential know-how. Under certain circumstances and to guarantee our freedom to operate, we may also decide to publish some know-how to prevent others from obtaining patent rights covering such know-how.</w:t>
      </w:r>
    </w:p>
    <w:p>
      <w:pPr>
        <w:spacing w:after="0" w:line="287"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or AI, in our operations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integrate AI into our operations, and this innovation presents risks and challenges that could affect its adoption, and therefore our business.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Act—the world’s first comprehensive AI law — is anticipated to enter into force in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deploy AI systems that are governed by the AI Act, we may be required to adopt higher standards of data quality, transparency, and human oversight, and adhere to specific and potentially burdensome and costly ethical, accountability, and administrative requirements.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ficerafusp alfa or Future Product Candidates</w:t>
      </w:r>
    </w:p>
    <w:p>
      <w:pPr>
        <w:spacing w:after="0" w:line="225"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advance ficerafusp alfa and future product candidates through clinical trials, obtain marketing approval and ultimately commercialize them.</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early in our development efforts as ficerafusp alfa remains in clinical development. Our ability to generate product revenues, which we do not expect will occur for several years, if ever, will depend heavily on the successful development and eventual regulatory approval and commercialization of our current products or future product candidates we develop, which may never occur. Our current product candidate, ficerafusp alfa, and any future product candidates we develop will require additional preclinical or clinical development, management of clinical, preclinical and manufacturing activities, marketing approval in the U.S., Canada and other jurisdictions, demonstration of effectiveness to pricing and reimbursement authorities, sufficient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clinical and commercial success of ficerafusp alfa and any future product candidates will depend on several factors, including the following:</w:t>
      </w:r>
    </w:p>
    <w:p>
      <w:pPr>
        <w:spacing w:after="0" w:line="13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our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successfully submit new Investigational New Drug, or IND, applications with the FDA for ficerafusp alfa and any future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preclinical studies for ficerafusp alfa or any future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product candidates in the intended patient populations;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on a timely and cost-efficient manner;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Health Canada, the EMA or comparable foreign regulatory authorities to conduct additional clinical trials or other studies beyond those planned or anticipated to support approval of our product candidates;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proposed indications and the primary endpoint assessments evaluated in the clinical trials of our product candidates by the FDA and comparable foreign regulatory authorities;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timely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if approved;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uses of our product candidates,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 candidates following approval;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532"/>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any post-approval requirements imposed on our products, such as post-marketing studies, a Risk Evaluation and Mitigation Strategy, or REMS, or additional requirements that might limit the promotion, advertising, distribution or sales of our products or make the products cost prohibitive;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These factors, many of which are beyond our control, could cause us to fall behind our competitors, experience significant delays or an inability to obtain regulatory approvals or commercialize ficerafusp alfa or future product candidates, and could otherwise materially harm our business. Successful completion of preclinical studies and clinical trials does not mean that ficerafusp alfa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ficerafusp alfa or any future product candidate, we may not be able to continue our business operations or achieve profitability.</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uncertain outcomes. We may incur additional costs and experience delays in developing and commercializing or be unable to develop or commercialize ficerafusp alfa and any future product candidates.</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pure and potent in humans and have a favorable risk-benefit profile. Clinical trials are expensive and can take many years to complete, with a highly uncertain outcome. Failure can occur at any time during the clinical trial process and our future clinical trial results may not be successful. We may experience delays in completing our clinical trials or preclinical studies and initiating or completing additional clinical trials. We cannot be certain the ongoing and planned preclinical studies or clinical trials for ficerafusp alfa or any other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97"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preclinical studies or clinical trials may not be predictive of results from later clinical trials of any product candidate;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other regulatory authorities, Institutional Review Boards, or IRBs, or independent ethics committees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regulatory authorities may require us to submit additional data such as long-term toxicology studies, or impose other requirements on us, before permitting us to initiate a clinical trial;</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as the terms of these agreements can be subject to extensive negotiation and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532"/>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clinical trial subjects;</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these clinical trials may be slower than we anticipate or participants may drop out of these clinical trials or may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product candidates could cause undesirable side effects that could result in significant negative consequences, including the inability to enter clinical development or receive regulatory approval;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or nonclinical testing and studies and clinical trials of any product candidates may be greater than we anticipate;</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quality or timeliness of delivery of materials for product candidates we develop or other materials necessary to conduct clinical trials may be insufficient or inadequate; and</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change the manufacturing site and potentially the CMO for our product candidates from those that are able to produce clinical supply for our clinical trials to those with the capacity and ability to perform commercial manufacturing and/or the production of clinical material for our later stage clinical trials.</w:t>
      </w:r>
    </w:p>
    <w:p>
      <w:pPr>
        <w:spacing w:after="0" w:line="17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or by the IRBs of the institutions in which such trials are being conducted, ethics committees or the Data and Safety Monitoring Board, or the DSMB, for such trial or by the FDA, Health Canada,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Health Canada, the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Health Canada, the EMA or other regulatory authorities may change the requirements for approval even after they have reviewed and commented on the design for our clinical trials. Further, the FDA, Health Canada, the EMA or other regulatory authorities may disagree with our clinical trial design and our interpretation of data from clinical trials. For example, we are conducting and may in the future conduct additional “open-label”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may exaggerate any therapeutic effect as patients may be subject to a “patient bias” where patients perceive their symptoms to have improved merely due to their awareness of receiving an experimental treatment. Moreover, patients selected for early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For example, in our ongoing Phase 1/1b trial, objective response rate as determined using RECIST 1.1 criteria is assessed by the trial investigators who may be aware of the trial treatment, patient history or other information that could impact their choices in applying the rules and conventions of RECIST 1.1. The published literature demonstrates a consistent decrease in response rate when investigator assessed response rates are verified by independent radiology review.</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investigators for our clinical trials may serve as scientific advisors or consultants to us from time to time and may receive cash or other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ficerafusp alfa or any future product candidates.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Any such events would impair our ability to successfully commercialize our product candidates and may harm our business and results of operations.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280"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Any preclinical programs we pursue may experience delays or may never advance to clinical trials, which would adversely affect our ability to obtain regulatory approvals or commercialize these programs on a timely basis or at all.</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risk of failure for product candidates still in the discovery or preclinical stage is high. In addition, any one or more of our product candidates that have not yet entered the clinic may never advance into clinical development.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ficerafusp alfa or any future product candidates. As a result, we cannot be sure that we will be able to submit INDs or similar applications for our preclinical programs on the timelines we expect, if at all, and we cannot be sure that submission of INDs or similar applications will result in the FDA, Health Canada, the EMA or other regulatory authorities allowing clinical trials to begin.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The commencement and rate of completion of preclinical studies and clinical trials for a product candidate may be delayed by many factors, including but not limited to:</w:t>
      </w:r>
    </w:p>
    <w:p>
      <w:pPr>
        <w:spacing w:after="0" w:line="83"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3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trial design;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foreign regulatory authorities not permitting the reliance on preclinical or other data from published scientific literature.</w:t>
      </w:r>
    </w:p>
    <w:p>
      <w:pPr>
        <w:spacing w:after="0" w:line="26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clinical trials for ficerafusp alfa or any future product candidates outside the U.S., and the FDA and comparable foreign regulatory authorities may not accept data from such trials.</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currently conducting, and may in the future conduct, clinical trials for ficerafusp alfa or any future product candidates outside the U.S., and the FDA and comparable foreign regulatory authorities may not accept data from such trials. We are currently conducting clinical trials in the U.S. and Canada, and we expect to continue to conduct trials internationally in the future. The acceptance of data from clinical trials conducted outside the U.S. or another jurisdiction by the FDA, Health Canada, the EMA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GCP, regulations, and (iii)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Health Canada, the EMA or any comparable foreign regulatory authority will accept data from trials conducted outside of the U.S. or the applicable jurisdiction. If the FDA, Health Canada, the EMA or any comparable foreign regulatory authority does not accept such data, it would result in the need for additional trials, which could be costly and time-consuming, and which may result in ficerafusp alfa or any future product candidates that we may develop being delayed or not receiving approval for commercialization in the applicable jurisdiction.</w:t>
      </w:r>
    </w:p>
    <w:p>
      <w:pPr>
        <w:spacing w:after="0" w:line="30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Preclinical studies and early-stage clinical trials are primarily designed to (i) test safety, (ii) study pharmacokinetics and pharmacodynamics and (iii)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ficerafusp alfa or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8"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 If regulatory authorities disagree with the conclusions reached, our ability to obtain approval for, and commercialize, our product candidates may be harmed, which could harm our business, financial condition, results of operations and prospects.</w:t>
      </w:r>
    </w:p>
    <w:p>
      <w:pPr>
        <w:spacing w:after="0" w:line="291"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Ficerafusp alfa or any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6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biological products, use of ficerafusp alfa or any future product candidates could be associated with side effects or adverse events which can vary in severity from minor reactions to death and in frequency from infrequent to prevalent. There have been serious adverse side effects reported in response to product therapeutics and bispecifics in oncology.</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EGFR-targeted drugs have been observed to cause side effects, predominantly related to skin toxicity and rash, and TGF-b inhibitors have been shown to have side effects primarily related to bleeding. While we have observed these side effects during our studies, the severity of these has been minimal but additional or more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severe treatment-related side effects may emerge at a later time in our trials.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 Additionally, we may be required to repeat or conduct additional clinical trials or nonclinical studies for our product candidates beyond those that we currently contemplate. There can be no assurance that ficerafusp alfa or any future product candidates will not demonstrate unacceptable toxicities in later testing that may render it unsafe or intolerable.</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the IRBs at the institutions in which our trials are conducted or the DSMB could suspend or terminate our clinical trials or the FDA, Health Canada, the EMA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ficerafusp alfa and future product candidates have undergone and will undergo safety testing to the extent possible and, where applicable, under such conditions discussed with regulatory authorities, not all adverse effects of drugs can be predicted or anticipated. Antibody therapeutics and bispecifics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ficerafusp alfa is safe in humans, and we cannot predict if ongoing or future clinical trials will do so. If ficerafusp alfa or any future product candidates fail to demonstrate safety and efficacy in clinical trials or do not gain marketing approval, we will not be able to generate revenue and our business will be harmed.</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intend to pursue our product candidates in combination with other therapies and may develop future product candidates in combination with other therapies, which exposes us to additional risks relating to undesirable side effects or other properties. For example, the other therapies may lead to toxicities that are improperly attributed to our product candidates or the combination of our product candidates with other therapies may result in toxicities that the product candidate or other therapy does not produce when used alone.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Even if we successfully advance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Even if we successfully develop a product candidate and it receives marketing approval, the FDA could require us to adopt a REMS to ensure that the benefits of treatment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If any of our product candidates receives marketing approval, and we or others later identify undesirable side effects caused by such products, a number of potentially significant negative consequences could result, including:</w:t>
      </w:r>
    </w:p>
    <w:p>
      <w:pPr>
        <w:spacing w:after="0" w:line="93" w:lineRule="exact"/>
        <w:rPr>
          <w:sz w:val="20"/>
          <w:szCs w:val="20"/>
          <w:color w:val="auto"/>
        </w:rPr>
      </w:pPr>
    </w:p>
    <w:p>
      <w:pPr>
        <w:ind w:left="1080" w:right="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limit, suspend, or withdraw their approval of the product or may refuse to approve supplemental applications for such product;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antibody therapeutic development approach generally prove to be unsafe, our entire technology platform and pipeline could be affected, which would also materially harm our business.</w:t>
      </w:r>
    </w:p>
    <w:p>
      <w:pPr>
        <w:spacing w:after="0" w:line="284"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7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trial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clinical trials. Consequently, we may be unable to successfully and efficiently execute and complete clinical trials that are required for biologics license application, or BLA, submission and FDA approval of ficerafusp alfa or any future product candidates. We may require more time and incur greater costs than our competitors and may not succeed in obtaining regulatory approvals of product candidates that we develop.</w:t>
      </w:r>
    </w:p>
    <w:p>
      <w:pPr>
        <w:spacing w:after="0" w:line="298"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encounter difficulties enrolling patients in our clinical trials, our clinical development activities could be delayed or otherwise be adversely affected.</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81"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size of the patient population required for analysis of the trial’s primary endpoints and the process for identifying patients;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participating and available clinical sites or patients;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inability, or failure to add new clinical trial sites;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for participation in our clinical trials;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current and potential future product candidates. It is also likely that we may compete with competitors developing product candidates in the same therapeutic areas for clinical trial sites.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9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Delays of difficulties in patient enrollment may result in increased costs or may affect the timing, outcome or completion of clinical trials, which would adversely affect our ability to advance the development of the product candidates we develop.</w:t>
      </w:r>
    </w:p>
    <w:p>
      <w:pPr>
        <w:spacing w:after="0" w:line="266"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develop and commercialize companion diagnostics with third party contractors for use with our product candidates could harm our ability to commercialize our product candidates.</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plan to develop, or engage third parties to develop, companion diagnostics for our product candidates where appropriate. At least in some cases, the FDA and similar regulatory authorities outside the United States may request or require the development and regulatory approval of a companion diagnostic as a condition to approving one or more of our product candidates. Companion diagnostics are subject to regulation by the FDA and comparable foreign regulatory authorities as medical devices and require separate clearance or approval prior to their commercialization. We do not have experience or capabilities in developing or commercializing diagnostics and are relying, and in the future plan to continue to rely, in large part on third parties to perform these functions.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most cases, we will likely outsource the development, production and commercialization of companion diagnostics to third parties. By outsourcing these companion diagnostics to third parties, we become dependent on the efforts of our third-party contractors to successfully develop and commercialize these companion diagnostics. Our contractors:</w:t>
      </w:r>
    </w:p>
    <w:p>
      <w:pPr>
        <w:spacing w:after="0" w:line="81"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encounter production difficulties that could constrain the supply of the companion diagnostic;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difficulties gaining acceptance of the use of the companion diagnostic in the clinical community;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such product;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and our third-party collaborators may encounter difficulties in developing and obtaining approval for these companion diagnostics. Any delay or failure by us or third- party collaborators to develop or obtain regulatory approval of a companion diagnostic could delay or prevent approval of our related product candidates. Further, if any companion diagnostic for use with one of our product candidates fails to gain market acceptance, our ability to derive revenues from sales of such product candidate could be harmed. If our third-party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and Work with Third Parties</w:t>
      </w:r>
    </w:p>
    <w:p>
      <w:pPr>
        <w:spacing w:after="0" w:line="22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and third-party CROs, to conduct monitor and manage data for our preclinical studies and clinical trials.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Health Canada, the EMA or comparable foreign regulatory authorities, who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the product candidate produced under FDA’s current good manufacturing practice, or cGMP, regulations or similar foreign regulations. Our failure to comply with these regulations may require us to repeat clinical trials, which would delay the regulatory approval process.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 these principal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If CROs do not successfully carry out their contractual duties or obligations or meet expected deadlines, if they need to be replaced or if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7"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and in the future may depend on other third-party collaborators for the discovery, development and commercialization of ficerafusp alfa and any of our future product candidates. If our collaborations are not successful, we may not be able to capitalize on the market potential of these product candidates.</w:t>
      </w:r>
    </w:p>
    <w:p>
      <w:pPr>
        <w:spacing w:after="0" w:line="6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collaborations with MSD International GmbH, or MSDIG, and MSD International Business GmbH, or MSDIB, and collectively with MSDIG, MSD and Biocon Ltd, or Biocon. In the future, we may form or seek other strategic alliances, joint ventures or collaborations, or enter into licensing arrangements with third parties that we believe will complement or augment our development and commercialization efforts with respect to product candidates we develop. Our current and potential future collaborations involving our product candidates may pose various risks to us, including:</w:t>
      </w:r>
    </w:p>
    <w:p>
      <w:pPr>
        <w:spacing w:after="0" w:line="89"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mutual termination of the Contract Transfer and License Agreement with Biocon could delay the commercialization of ficerafusp alfa.</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future collaborations, if we enter into such collaboration agreements and strategic partnerships or license our intellectual property, products or businesses, we may not be able to realize the benefit of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among others, could delay the development and commercialization of our product candidates, which would harm our business prospects, financial condition and results of operations.</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established collaborations and may seek to establish future collaborations, and, if we are not able to establish them on commercially reasonable terms, we may have to alter our development and commercialization plans.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ficerafusp alfa and any of our future product candidates will require substantial additional cash to fund expenses. We currently collaborate with pharmaceutical and biotechnology companies with respect to development and potential commercialization of ficerafusp alfa, and we may also do so with any future product candidates.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Health Canada,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 Moreover, we intend to rely on third parties to produce commercial supplies of any approved product candidate and our commercialization of any of our product candidates could be stopped, delayed or made less profitable if those third parties fail to obtain approval of the FDA, Health Canada, the EMA or comparable foreign regulatory authorities following inspection of their facilities and procedures to manufacture our product candidates, fail to provide us with sufficient quantities of a product candidate or fail to do so at acceptable timing, quality levels or prices or fail to otherwise complete their duties in compliance with their obligations to us or other parties.</w:t>
      </w:r>
    </w:p>
    <w:p>
      <w:pPr>
        <w:spacing w:after="0" w:line="7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rely on and expect to continue to rely on third-party CMOs for the supply of cGMP-grade clinical trial materials and commercial quantities of our product candidates and products, if approved. Reliance on third-party providers may expose us to more risk than if we were to manufacture product candidates ourselves. The facilities used by our CMOs to manufacture our product candidates must be approved by the FDA foreign regulatory authorities pursuant to inspections that will be conducted after we submit our Biologics License Application, or BLA, to the FDA, or similar applications to foreign regulatory authorities. We have limited control over the manufacturing process of, and beyond contractual terms, we are completely dependent on our CMOs for compliance with cGMP or similar foreign requirements for the manufacture of our product candidates. If our CMOs cannot successfully manufacture material that conforms to our specifications and the strict regulatory requirements of the FDA, Health Canada, the EMA or comparable foreign regulatory authorities, or are unable to do so in a timely manner, they will not be able to secure and/or maintain regulatory approval for their manufacturing facilities or may result in delay of our ability to obtain marketing authorization, if any, of our product candidates. In addition, we have limited control over the ability of our CMOs to maintain adequate quality control, quality assurance and qualified personnel. If the FDA, Health Canada, the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collaborators, our CMOs and other third parties for the manufacture, filling, storage and distribution of our product candidates means that we are subject to the risk that the products may have manufacturing defects that we have limited ability to prevent or control. The sale of products containing such defects could adversely affect our business, financial condition and results of operations.</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rely on our CMOs to purchase from third-party suppliers the materials necessary to produce our product candidates for our clinical trials, and will rely on our existing and future collaborators to purchase from third-party suppliers the materials necessary to develop and produce our product candidates for future clinical trials and, upon approval, our products for commercialization. There are a limited number of suppliers for raw materials that we use to manufacture our product candidates and there may be a need to assess alternate suppliers to prevent a possible disruption of the manufacture of the materials necessary to produce our product candidates for our clinical trials, and if approved, ultimately for commercial sale. Apart from contractual measures, we do not have any control over the process or timing of the acquisition of these raw materials by our manufacturers or manufacturers paid by our collaborators. Moreover, we currently do not have any agreements for the commercial production of these raw materials. Although we generally do not begin a clinical trial unless we believe we have a sufficient supply of an product candidate to complete the clinical trial or have secured resupply capacity, any significant delay in the supply of an product candidate, or the raw material components thereof, for a planned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an ongoing clinical trial due to the need to replace a third-party manufacturer could considerably delay completion of our clinical trials, product testing and potential regulatory approval of our product candidates.</w:t>
      </w:r>
    </w:p>
    <w:p>
      <w:pPr>
        <w:spacing w:after="0" w:line="16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manufacturing of our product candidates is expensive and time-consuming, and generally requires more complex processes than those associated with small-molecule drugs. If we are successful in obtaining regulatory approval for any of our product candidates, we might have limited quantities of such product candidates available to us in connection with a potential commercial launch, and these supplies may be further limited by our ongoing clinical development activities. If our manufacturers, collaborators or we are unable to purchase or produce sufficient quantities of raw materials or of our product candidates after regulatory approval has been obtained for our product candidates, the commercial launch of our product candidates could be delayed or there could be a shortage in supply, which in either case, would impair our ability to generate revenues from the sale of our product candidates.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rely on our manufacturers and other subcontractors to comply with and respect the proprietary rights of others in conducting their contractual obligations for us. If our manufacturers or other subcontractors fail to acquire the proper licenses or otherwise infringe third party proprietary rights in the course of completing their contractual obligations to us, we may have to find alternative manufacturers or defend against claims of infringement, either of which would significantly impact our ability to develop, obtain regulatory approval for or market our product candidates, if approved.</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many of which are located outside of the United States, are subject to additional risks that are beyond our control and that could harm our business, financial condition, results of operations and prospects.</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drug substance and the final drug product formulation of all of our product candidates that are being used in our clinical trials and preclinical studies. Although we believe that there are several potential alternative manufacturers who could manufacture our product candidates, we primarily rely on one manufacturer, WuXi Biologics (Hong Kong) Limited, or WuXi Bio, for the production of product necessary to complete our ongoing clinical trials. If a replacement manufacturer became necessary in the future, we may incur added costs and delays in identifying and qualifying another manufacturer. We currently do not have any long-term supply agreements in place, though we intend to enter into such agreements as well as evaluate additional product manufacturing sources in the future. As a result of our dependence on ex-U.S. suppliers, we are subject to risks associated with doing business abroad, including:</w:t>
      </w:r>
    </w:p>
    <w:p>
      <w:pPr>
        <w:spacing w:after="0" w:line="94" w:lineRule="exact"/>
        <w:rPr>
          <w:sz w:val="20"/>
          <w:szCs w:val="20"/>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tensions, political unrest, terrorism, labor disputes and economic instability resulting in the disruption of trade from foreign countries in which our products are manufactured, particularly China;</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including China, pursuant to our master supply agreement with WuXi Bio;</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status acceptable to the FDA, Health Canada, the EMA or comparable foreign regulatory authorities;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 secret protection, in some countries, particularly China;</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epidemics, pandemics, public health crises or other emergencies or natural disasters;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If enacted, legislation known as the BIOSECURE Act, which was introduced by Congress, would prohibit U.S. federal agencies from entering into or renewing a contract with any company that uses biotechnology equipment or services produced or provided by a “biotechnology company of concern” in the performance of that government contract. It would also prohibit recipients of loan or grant funding from U.S. federal agencies from using loan or grant funds to procure, obtain or use any biotechnology equipment or services produced or provided by a “biotechnology company of concern.” This legislation would have the effect of restricting the ability of biopharmaceutical companies that enter into contracts with or receive funding from U.S. federal agencies from purchasing services or equipment from certain Chinese biotechnology companies, including those that are specifically named in the proposed BIOSECURE Act. The most recent version of the BIOSECURE Act introduced in the House of Representatives names WuXi Bio as a “biotechnology company of concern.” The most recent version of the BIOSECURE Act introduced in the House of Representatives also includes a grace period that would restrict the applicability of the BIOSECURE Act’s prohibitions to existing contractual arrangements with named “biotechnology companies of concern” until 2032. If approved in this form, the BIOSECURE Act would likely not prevent us from sourcing drug product from WuXi Bio for use in clinical development. However, depending on the final language of the BIOSECURE Act, and how the law is interpreted by U.S. federal agencies, we could be potentially restricted from pursuing U.S. federal government business or government reimbursement for our products in the future if we enter long-term commercial arrangements with WuXi Bio or other suppliers or partners identified as “biotechnology companies of concern” that extend beyond this grace period. Additionally, the legislation could adversely impact WuXi Bio’s operations or financial position, which, in turn, could impact its and ability to supply us with product in the future. We may also face additional manufacturing and supply-chain risks due to the evolving regulatory and legal requirements in China, or due to the deterioration of the geo-political relationship between China and the U.S., including but not limited to potential sanctions imposed by the U.S. government on WuXi Bio, or other companies in China on whom we might rely, or any of the other countries in which our products are manufactured or marketed.</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 ability to procure certain materials, any of which could delay our clinical trials or otherwise harm our business, financial condition, results of operations and prospects.</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drug substances from third parties to develop and commercialize some of our product candidates, which could increase our development costs and delay our ability to commercialize those product candidates.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Should we decide to use any cell line and raw materials in any of our product candidates that are proprietary to one or more third parties, we would need to maintain licenses to those drug substances from those third parties. If we are unable to gain or continue to access rights to these drug substances prior to conducting preclinical toxicology studies intended to support clinical trials, we may need to develop alternate product candidates from these programs by either accessing or developing alternate drug substances, resulting in increased development costs and delays in commercialization of these product candidates. If we are unable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gain or maintain continued access rights to the desired drug substances on commercially reasonable terms or develop suitable alternate drug substances, we may not be able to commercialize product candidates from these programs.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(or maintain approval) may change during the course of a product candidate’s clinical development and may vary among jurisdictions.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has required and will require us to continue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Project Equity, which is an initiative to ensure that the data submitted to the FDA for approval of oncology medical products adequately reflects the demographic representation of patients for whom the medical products are intended; and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We are considering these and other policy changes as they relate to our programs.</w:t>
      </w:r>
    </w:p>
    <w:p>
      <w:pPr>
        <w:spacing w:after="0" w:line="19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not obtained regulatory approval for any product candidate. Neither we nor any future collaborator is permitted to market any biological product in the U.S. until we or the future collaborator receives regulatory approval of a BLA, from the FDA. It is possible that ficerafusp alfa or any future product candidates will not obtain regulatory approval from the FDA, Health Canada, the EMA or comparable foreign regulatory authorities.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Ficerafusp alfa and any future product candidates could fail to receive regulatory approval for many reasons, including the following:</w:t>
      </w:r>
    </w:p>
    <w:p>
      <w:pPr>
        <w:spacing w:after="0" w:line="131" w:lineRule="exact"/>
        <w:rPr>
          <w:sz w:val="20"/>
          <w:szCs w:val="20"/>
          <w:color w:val="auto"/>
        </w:rPr>
      </w:pPr>
    </w:p>
    <w:p>
      <w:pPr>
        <w:ind w:left="1080" w:right="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comparable foreign regulatory authorities may disagree with the design or implementation of our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Health Canada, the EMA or comparable foreign regulatory authorities that a product candidate has an acceptable risk-benefit profile in the proposed indication;</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Health Canada, the EMA or comparable foreign regulatory authorities that the facility in which a product candidate is manufactured meets standards designed to assure that the product candidate continues to be safe, pure, and potent;</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Health Canada, the EMA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comparable foreign regulatory authorities may disagree with our interpretation of data from clinical trials or preclinical studies;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Health Canada, the EMA or regulatory submissions to comparable regulatory authorities to obtain regulatory approval in such jurisdiction; and</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Health Canada, the EMA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future clinical trials of our product candidates are promising, such data may not be sufficient to support approval by the FDA, Health Canada, the EMA or any other regulatory authority.</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the FDA may approve any of our product candidates for fewer or more limited indications, or a more limited patient population, than we request, may grant approval contingent on the performance of costly clinical trials or other post-marketing requirements, or may approve a product candidate with a label that does not include the labeling claims we believe are necessary or desirable for the successful commercialization of such product candidates. Even if we obtain regulatory approval for our product candidates, we will be required to submit new or supplemental applications and obtain approval for certain changes to the approved product, product labeling, or manufacturing process and the FDA or comparable foreign regulatory authority may refuse to approve such applications or supplements.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the FDA, Health Canada, the EMA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spacing w:after="0" w:line="287"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biological products or modifications to approved biological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29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5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Clinical trials must be conducted in accordance with GCP requirements, which are regulations and guidelines enforced by the FDA, Health Canada, the EMA and comparable foreign regulatory authorities.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Clinical trials are subject to oversight by the FDA, other foreign governmental agencies and IRBs or ethical committees at the trial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spacing w:after="0" w:line="85" w:lineRule="exact"/>
        <w:rPr>
          <w:sz w:val="20"/>
          <w:szCs w:val="20"/>
          <w:color w:val="auto"/>
        </w:rPr>
      </w:pPr>
    </w:p>
    <w:p>
      <w:pPr>
        <w:ind w:left="1080" w:right="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conduct of the clinical trials, including failure to conduct the clinical trial in accordance with regulatory requirements or trial protocols;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clinical trial operations or trial sites;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adverse side effects or the emergence of undue risks to trial subjects;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trial design necessary to demonstrate efficacy;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ficerafusp alfa may not appear to offer benefits over current therapies;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ficerafusp alfa may fall below acceptable standards.</w:t>
      </w:r>
    </w:p>
    <w:p>
      <w:pPr>
        <w:spacing w:after="0" w:line="329"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product candidates in part in combination with other therapies and may develop our future product candidates in combination with other therapies, which exposes us to additional regulatory risks.</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develop our product candidates in part in combination with other therapies, including ficerafusp alfa in combination with pembrolizumab as a treatment for HNSCC and SCAC, and may develop ficerafusp alfa and any future product candidates in combination with one or more currently approved cancer therapies. These combinations have not been previously tested in the clinic and may, among other things, fail to demonstrate synergistic activity, may fail to achieve superior outcomes relative to the use of single agents or other combination therapies, or may fail to demonstrate sufficient safety or efficacy traits in clinical trials to enable us to complete those clinical trials or obtain marketing approval for the combination therapy.</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did not develop or obtain regulatory approval for, and we do not manufacture or sell, any of these approved therapeutics.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 may use in combination with our product candidates may also be supplanted in the market by newer, safer or more efficacious products or combinations of products.</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any product candidate we develop were to receive marketing approval or be commercialized for use in combination with other existing therapies, we would continue to be subject to the risk that the FDA, Health Canada, the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diseases, and we would be subject to similar risks if we develop any of our product candidates for use in combination with other drugs or for indications other than cancer.</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also evaluate ficerafusp alfa or any future product candidates in combination with one or more other cancer therapies that have not yet been approved for marketing by the FDA, Health Canada, the EMA or comparable foreign regulatory authorities. We will not be able to market and sell any product candidate we develop in combination with any such unapproved cancer therapies that do not ultimately obtain marketing approval.</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FDA, Health Canada, the EMA or comparable foreign regulatory authorities do not approve these other biological products or revoke their approval of, or if safety, efficacy, manufacturing or supply issues arise with, the biological products we choose to evaluate in combination with any product candidate we develop, we may be unable to obtain approval of or market any such product candidate.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ficerafusp alfa,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7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marketing approvals that we may receive for ficerafusp alfa or any future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Health Canada, the EMA or a comparable foreign regulatory authority approves a product candidate, the manufacturing processes, labeling, packaging, distribution, tracking and tracing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95" w:lineRule="exact"/>
        <w:rPr>
          <w:sz w:val="20"/>
          <w:szCs w:val="20"/>
          <w:color w:val="auto"/>
        </w:rPr>
      </w:pPr>
    </w:p>
    <w:p>
      <w:pPr>
        <w:ind w:left="1080" w:right="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imposition of restrictions on, the marketing or manufacturing of the product, withdrawal of the product from the market, or product recalls;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or holds on clinical trials;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we file, or suspension or revocation of approved biologics licenses;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monetary penalties, refusal to permit the import or export of the product, or placement on Import Alert;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Given the nature of biological products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0"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44"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potential product candidates with the FDA and comparable foreign regulatory authorities that are intended to confer benefits such as a faster development process, there can be no assurance that we will successfully obtain such designations. In addition, even if one or more of our potential product candidates are granted such designations, we may not be able to realize the intended benefits of such designations.</w:t>
      </w:r>
    </w:p>
    <w:p>
      <w:pPr>
        <w:spacing w:after="0" w:line="7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and priority review.</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However, there can be no assurance that we will successfully obtain such designations for any potential product candidates.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fast-track designation for some of our potential product candidates. If a therapy is intended for the treatment of a serious or life-threatening condition and the therapy nonclinical or clinical data demonstrates the potential to address unmet medical needs for this condition, the therapy sponsor may apply for fast-track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fast-track designation does not provide assurance of ultimate FDA approval. In addition, the FDA may withdraw fast-track designation if it believes that the designation is no longer supported by data from our clinical development program.</w:t>
      </w:r>
    </w:p>
    <w:p>
      <w:pPr>
        <w:spacing w:after="0" w:line="194"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we may seek a 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w:t>
      </w:r>
    </w:p>
    <w:p>
      <w:pPr>
        <w:spacing w:after="0" w:line="183"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In the future, we may also seek approval of potential product candidates under the FDA’s accelerated approval pathway. A product may be eligible for accelerated approval if it is designed to treat a serious or life threatening disease or condition and generally provides a meaningful advantage over available therapies upon a determination that the potential future product candidate has an effect on a surrogate endpoint or intermediate clinical endpoint that is reasonably likely to predict clinical benefit or on a clinical endpoint that can be measured earlier than irreversible morbidity or mortality, or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for products being considered for accelerated approval, the FDA generally requires, unless otherwise informed by the Agency, that all advertising and promotional materials intended for dissemination or publication be submitted to the Agency for review. There can be no assurance that FDA would allow any of the potential future product candidates we may develop to proceed on an accelerated approval pathway,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20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the product candidates that we may develop.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with respect to approval compared to conventional FDA procedures. Receiving priority review from the FDA does not guarantee approval within the six-month review cycle or at all.</w:t>
      </w:r>
    </w:p>
    <w:p>
      <w:pPr>
        <w:spacing w:after="0" w:line="266"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our product candidates, and we may be unable to maintain the benefits associated with orphan drug designation, including the potential for market exclusivity.</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U.S., or a patient population of greater than 200,000 individuals in the U.S. but for which there is no reasonable expectation that the cost of developing the drug will be recovered from sales in the U.S. We may not be able to obtain orphan drug designation for any indications for our product candidates, and we may not be able to maintain such designations if granted.</w:t>
      </w:r>
    </w:p>
    <w:p>
      <w:pPr>
        <w:spacing w:after="0" w:line="18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obtain orphan drug designation or orphan drug exclusivity,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w:t>
      </w:r>
    </w:p>
    <w:p>
      <w:pPr>
        <w:spacing w:after="0" w:line="19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decision of the U.S. Court of Appeals for the 11th Circuit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has created uncertainty regarding the scope of orphan drug exclusivity. Although the FDA subsequently announced that it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and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289"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may seek accelerated approval for some of our product candidates, we may not be able to obtain it as the sufficiency of our clinical trial results for accelerated approval are subject to the FDA’s discretion.</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plan to seek approval for ficerafusp alfa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or IMM, that is reasonably likely to predict an effect on IMM or other clinical benefit. For more information, see the section titled “</w:t>
      </w:r>
      <w:r>
        <w:rPr>
          <w:rFonts w:ascii="Times New Roman" w:cs="Times New Roman" w:eastAsia="Times New Roman" w:hAnsi="Times New Roman"/>
          <w:sz w:val="18"/>
          <w:szCs w:val="18"/>
          <w:i w:val="1"/>
          <w:iCs w:val="1"/>
          <w:color w:val="auto"/>
        </w:rPr>
        <w:t>Business—Government Regulation—Review and Approval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Licensing Biologics in the U.S.—Expedited Review Programs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ficerafusp alfa or any future product candidates will depend upon the degree of market acceptance of such product candidates by physicians, patients, healthcare payors and others in the medical community.</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Ficerafusp alfa and any future product candidates may not be commercially successful. Even if ficerafusp alfa or any future product candidates receive regulatory approval, they may not gain market acceptance among physicians, patients, healthcare payors, or the medical community. The commercial success of ficerafusp alfa or any future product candidates will depend significantly on the broad adoption and use of the resulting product by these individuals and organizations for approved indications. The degree of market acceptance of our products will depend on a number of factors, including:</w:t>
      </w:r>
    </w:p>
    <w:p>
      <w:pPr>
        <w:spacing w:after="0" w:line="89"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anymore established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ficerafusp alfa or any future product candidates are approved,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current or future collaborators’ sales and marketing strategies;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ficerafusp alfa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ficerafusp alfa or any future product candidate we develop, if approved, may be limited to those patients who are ineligible for established therapies or for whom prior therapies have failed, and may be small.</w:t>
      </w:r>
    </w:p>
    <w:p>
      <w:pPr>
        <w:spacing w:after="0" w:line="5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U.S. and any other jurisdiction for which we gain regulatory approval and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commercial rights. If the markets or patient subsets that we are targeting are not as significant as we estimate, we may not generate significant revenues from sales of such products, even if approved.</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The number of patients who receive second- and third-line treatment is significantly smaller than the number of patients who receive first-line treatment, and the prognosis of patients who receive second- or third-line treatment is often poorer than that of patients who receive first-line treatment.</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initially seek approval for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number of patients who have the types of cancer or autoimmune diseases we are targeting may turn out to be lower than expected. Additionally, the potentially addressable patient population for ficerafusp alfa or any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regulated as biological products, or biologics, may face competition from biosimilars approved through an abbreviated regulatory pathway.</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established an abbreviated pathway for the approval of biosimilar and interchangeable biologics with an FDA-licensed reference biologic product. Under the BPCIA, 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and is not submitted as a biosimilar application. Certain changes and supplements to an approved BLA, and subsequent applications filed by the same sponsor, manufacturer, licensor, predecessor in interest, or other related entity do not qualify for the 12-year exclusivity period. The law is complex and any new policies or processes adopted by the FDA could have a material adverse effect on the future commercial prospects for our biological products.</w:t>
      </w:r>
    </w:p>
    <w:p>
      <w:pPr>
        <w:spacing w:after="0" w:line="19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 approval of a biosimilar of our product candidates could have a material adverse impact on our business due to increased competition and pricing pressure. It is also possible that payors will give reimbursement preference to biosimilars over reference biological products, even absent a determination of interchangeability.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we do not receive any anticipated periods of regulatory exclusivity for our product candidates it could adversely affect our business, financial condition, results of operations and prospects.</w:t>
      </w:r>
    </w:p>
    <w:p>
      <w:pPr>
        <w:spacing w:after="0" w:line="26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ficerafusp alfa and any future product candidates in one jurisdiction does not mean that we will be successful in obtaining and maintaining marketing approval of ficerafusp alfa and any future product candidates in other jurisdictions.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ficerafusp alfa and any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291"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agreements with third parties to sell, distribute and/or market ficerafusp alfa if we obtain regulatory approval, which may adversely affect our ability to generate revenues.</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Given the development stage of ficerafusp alfa, we have no experience in sales, marketing and distribution of biotech products. However, if ficerafusp alfa obtains marketing approval, we might intend to develop sales and marketing capacity, either alone or with partners, or rely upon the sales and marketing capabilities of our partners.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Outsourcing sales, distribution and marketing may subject us to a variety of risks, including:</w:t>
      </w:r>
    </w:p>
    <w:p>
      <w:pPr>
        <w:spacing w:after="0" w:line="131"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exercise direct control over sales, distribution and marketing activities and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or inability of contracted sales personnel to successfully market our products to physicians;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third parties concerning distribution, sales and marketing expenses, calculation of royalties, and sales and marketing strategies.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partner with a third party that has adequate sales, marketing, and distribution capabilities, we may have difficulty commercializing our ficerafusp alfa which would adversely affect our business, financial condition, and ability to generate product revenues.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Off-label use or misuse of ficerafusp alfa may harm our reputation in the marketplace or result in injuries that lead to costly product liability suits.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If ficerafusp alfa is approved by the FDA, we may only promote or market ficerafusp alfa in a manner consistent with its FDA-approved labeling. We will train our marketing and sales force against promoting ficerafusp alfa for uses outside of the approved indications for use, known as “off-label uses.” We cannot, however, prevent a physician from using ficerafusp alfa off-label, when in the physician’s independent professional medical judgment, he or she deems it appropriate. Furthermore, the use of ficerafusp alfa for indications other than those approved by the FDA may not effectively treat such conditions. Any such off-label use of ficerafusp alfa could harm our reputation in the marketplace among physicians and patients. There may also be increased risk of injury to patients if physicians attempt to use ficerafusp alfa for these uses for which they are not approved, which could lead to product liability suits that might require significant financial and management resources and that could harm our reputation.</w:t>
      </w:r>
    </w:p>
    <w:p>
      <w:pPr>
        <w:spacing w:after="0" w:line="293"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or FCPA,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1"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ficerafusp alfa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rights for ficerafusp alfa, including ficerafusp alfa and any future product candidates, methods used to produce, purify, and manufacture those product candidates, and methods of utilizing the product candidates, including methods for treating patients, among other aspects of ficerafusp alfa or on licensing-in such rights. Failure to protect or to obtain, maintain, or extend adequate patent and other intellectual property rights could materially adversely affect our ability to develop and market ficerafusp alfa.</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strategy depends in part on our ability to identify and seek patent protection for our discoveries. The patent prosecution process is time-consuming and expensive, and we and our current or future licensors, licensees or collaborators may not be able to prepare, file and prosecute all necessary or desirable patent applications at a reasonable cost or in a timely manner in all jurisdictions where protection may be commercially advantageous. It is also possible that we or our current or future licensors, licensees, or collaborators will fail to identify patentable aspects of inventions made in the course of development and commercialization activities before it is too late to obtain patent protection on them.</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standards which the United States Patent and Trademark Office, or USPTO, and its foreign counterparts use to grant patents are not always applied predictably or uniformly and can change in the future. There is also no uniform, worldwide policy regarding the subject matter and scope of claims granted or allowable. The laws of some foreign countries do not protect proprietary information to the same extent as the laws of the United States. Outside the United States, patent protection must be sought in individual jurisdictions, further adding to the cost and uncertainty of obtaining adequate patent protection outside of the United States. Accordingly, the issuance, scope, validity, enforceability, and commercial value of our and our current or future licensors’, licensees’ or collaborators’ current and future patent rights are highly uncertain. We cannot predict whether additional patents protecting ficerafusp alfa will issue in the U.S. or in foreign jurisdictions, or whether any patents that do issue will have claims of adequate scope to provide competitive advantage. Our and our current or future licensors’, licensees’ or collaborators’ pending and future patent applications may not result in patents being issued which protect ficerafusp alfa or other technology, in whole or in part, or which effectively prevent others from commercializing competitive products and technology. The patent examination process may require us or our current or future licensors, licensees or collaborators to narrow the scope of the claims of our or our current or future licensors’, licensees’ or collaborators’ pending and future patent applications, which may limit the scope of patent protection that may be obtained.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or have issued and even if such patents cover a product candidate, and/or other technologies, third parties may initiate opposition, interference, re-examination, post-grant review, inter partes review, litigation, nullification or derivation action in court or before patent offices, or similar proceedings challenging the validity, enforceability, scope, inventorship, or ownership of such patents, which may result in the patent claims being narrowed, invalidated, held unenforceable, or unavailable to us. Our and our current and future licensors’, licensees’ or collaborators’ patent applications cannot be enforced against third parties practicing the technology claimed in such applications unless and until a patent issue from such application(s), and then only to the extent the issued claims cover the technology in the relevant jurisdiction.</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Patent applications in the U.S. and many foreign jurisdictions are typically not published until 18 months after filing, or in some cases not at all, and because publications of discoveries in scientific literature lag behind actual discoveries. As such, we cannot be certain that we or our licensors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changes in, or different interpretations of, patent laws in the U.S. and other countries may permit others to use our discoveries or to develop and commercialize ficerafusp alfa without providing any notice or compensation to us or may limit the scope of patent protection that we or our licensors are able to obtain. The laws of some countries do not protect intellectual property rights to the same extent as U.S. laws and those countries may lack adequate rules and procedures for defending our intellectual property rights.</w:t>
      </w:r>
    </w:p>
    <w:p>
      <w:pPr>
        <w:spacing w:after="0" w:line="284"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ficerafusp alfa in all countries and jurisdictions throughout the world would be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As such, we will not file for patent protection in all national and regional jurisdictions in the world where such protection may be available.</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Accordingly, competitors may use our and our existing or future licensors’, licensees’ or collaborators’ technologies in jurisdictions where we have not obtained patent protection to develop their own products and, further, may export otherwise infringing products to territories where we and our existing or future licensors, licensees or collaborators have patent protection, but enforcement is not as strong as that in the U.S. These products may compete with ficerafusp alfa or other technologies, and our and our existing or future licensors’, licensees’ or collaborators’ patents or other intellectual property rights may not be effective or sufficient to prevent them from competing.</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Patent protection must be sought on a country-by-country basis, which is an expensive and time-consuming process with uncertain outcomes. Accordingly, we may choose not to seek patent protection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certain countries, and we will not have the benefit of patent protection in such countries. In addition, the legal systems of some countries, particularly developing countries, do not favor the enforcement of patents and other intellectual property protection, and the requirements for patentability differ, in varying degrees, from country to country, and the laws of some foreign countries do not protect intellectual property rights, including trade secrets, to the same extent as federal and state laws of the United States. As a result, many companies have encountered significant problems in protecting and defending intellectual property rights in certain foreign jurisdictions. Such issues may make it difficult for us to stop the infringement, misappropriation or other violation of our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9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proceedings to enforce our patent rights and other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29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ficerafusp alfa and related technology could be found invalid or unenforceable if challenged in court or before a patent office. We may become involved in lawsuits involving our intellectual property, including patents, to protect or enforce our patents, which could be expensive, time consuming and unsuccessful.</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Issued patents may be challenged, narrowed, invalidated, circumvented, or otherwise encumbered by a third party. We may from time to time need to resort or become a party to litigation (or other adversarial proceeding) to enforce or defend any patents or other intellectual property rights owned by or licensed to us, or to determine or challenge the scope or validity of patents or other intellectual property rights of third parties in the U.S. and in other jurisdictions. For example, in August 2024, we received a letter alleging certain patents related to ficerafusp alfa licensed to us are invalid and/or lack correct inventorship. As enforcement of intellectual property rights is difficult, unpredictable and expensive, we may fail in enforcing our rights—in which case our competitors may be permitted to use our product without being enjoined, required to pay us any license fees, or compensate us for lost profits or reasonable royalty. In addition, litigation involving our patents carries the risk that one or more of our patents will be held invalid (in whole or in part, on a claim-by-claim basis) or held unenforceable. Such an adverse court ruling could allow third parties to commercialize technology covered by our patents we seek to enforce, such as those covering ficerafusp alfa and related methods, among other technologies, and then compete directly with us, without payment to us.</w:t>
      </w:r>
    </w:p>
    <w:p>
      <w:pPr>
        <w:spacing w:after="0" w:line="19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ficerafusp alfa or other technology, the defendant could counterclaim that our patent is invalid and/or unenforceable, which is commonplace in patent litigation in the U.S. and other foreign jurisdictions. Grounds for a validity challenge could be an alleged failure to meet any of several statutory requirements for patentability, for example, lack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utility, novelty, obviousness, non-enablement or lack of written description or as constituting unpatentable subject matter. Grounds for an unenforceability assertion could be an allegation that someone substantively involved in prosecution of the patent withheld but-for material information from the USPTO or engaged in affirmatively egregious misconduct, during prosecution, with a specific intent to deceive the USPTO.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could lose at least part, and perhaps all, of the patent protection on ficerafusp alfa or other technology. Such a loss of patent protection could have a material adverse impact on our business. Even if we have valid and enforceable patents, these patents still may not provide protection against competing products or processes sufficient to achieve our business objectives. Patents and other intellectual property rights also will not protect ficerafusp alfa if competitors design around our protected technology without infringing our patents or other intellectual property rights.</w:t>
      </w:r>
    </w:p>
    <w:p>
      <w:pPr>
        <w:spacing w:after="0" w:line="19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Even if such litigation (or other adversarial proceedings or disputes) is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this could have a substantial adverse effect on the price of our common stock. Such litigation or proceedings and the legal costs associated with them,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w:t>
      </w:r>
    </w:p>
    <w:p>
      <w:pPr>
        <w:spacing w:after="0" w:line="292"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defending against any claims by competitors or others that we are infringing upon their intellectual property rights, our business could be materially harmed.</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operate without infringing the proprietary rights of third parties. Other entities may have or obtain patents or other proprietary rights that could limit our ability to make, use, sell, offer for sale or import a product candidate, a future approved product, or impair our competitive position. We are aware of third party issued patents and/or pending patent applications, including in the U.S., that could be alleged as covering ficerafusp alfa, irrespective of the merits of any such allegation, for example in August 2024, we received a letter alleging ficerafusp alfa infringes certain third party patents. Although we believe that these patents are not infringed, and/or are invalid and/or unenforceable, if a court should find that they cover a product candidate and we are unable to invalidate such patents, or if licenses for them are not available on commercially reasonable terms, our business could be harmed, perhaps materially.</w:t>
      </w:r>
    </w:p>
    <w:p>
      <w:pPr>
        <w:spacing w:after="0" w:line="18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if such patents or patent applications were asserted against us, we would have counterclaims and defenses against such claims, including non-infringement, the affirmative defense of safe harbor designed to protect activity undertaken to obtain federal regulatory approval of a drug, including under 35 U.S.C. § 271(e) and similar foreign exceptions to infringement, and defenses concerning patent invalidity and/or unenforceability. However, if such counterclaims and defenses were not successful and such patents were successfully asserted against us such that they are found to be valid and enforceable, and infringed, unless we obtain a license to such patents, which may not be available on commercially reasonable terms or at all, we could be prevented from continuing to develop or commercialize ficerafusp alfa. We could also be required to pay substantial damages. We cannot assure you that we will ultimately prevail if any of this third-party intellectual property is asserted against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biotechnology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67" w:lineRule="exact"/>
        <w:rPr>
          <w:sz w:val="20"/>
          <w:szCs w:val="20"/>
          <w:color w:val="auto"/>
        </w:rPr>
      </w:pPr>
    </w:p>
    <w:p>
      <w:pPr>
        <w:ind w:left="1080" w:right="2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claiming that our processes or products infringe their patent or other intellectual property rights, we and our collaborators will need to defend against such proceedings; and</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lawsuits (or other proceedings) would be costly and could affect our results of operations and divert the attention of our management and scientific personnel. 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present or future licensors’, collaborators’ or partners’ patents and patent applications is threatened, it could dissuade companies from collaborating with us to license, develop or commercialize ficerafusp alfa or any future product candidates.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Third party intellectual property right holders, including our competitors, may actively bring infringement claims against us. We may not be able to successfully settle, license on commercially acceptable terms or otherwise resolve such potential infringement claims. If we are unable to successfully settle future claims on terms acceptable to us, we may be required to engage or continue costly, unpredictable and time-consuming litigation and may be prevented from or experience substantial delays in marketing any approved products. If we fail in any such dispute, in addition to being forced to potentially pay damages, we or our licensees may be temporarily or permanently prohibited from commercializing our product candidates that are held to be infringing or be forced to redesign our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biotechnology industry has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ficerafusp alfa to market and be precluded from manufacturing or selling ficerafusp alfa.</w:t>
      </w:r>
    </w:p>
    <w:p>
      <w:pPr>
        <w:spacing w:after="0" w:line="293"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also possible that in our evaluation of third-party intellectual property, we failed to identify relevant patents or applications.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ficerafusp alfa in any jurisdiction.</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ficerafusp alfa. Our failure to identify and correctly interpret relevant patents may negatively impact our ability to develop and market our products.</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For example, U.S. applications filed before November 29, 2000 and certain U.S. applications filed after that date that will not be filed outside the United States remain confidential until patents issue. Patent applications in the U.S. and elsewhere are published approximately 18 months after the earliest filing for which priority is claimed, with such earliest filing date being commonly referred to as the priority date. Furthermore, we operate in a highly competitive field, and given our limited resources, it is unreasonable to monitor all patent applications purporting to claim broad coverage in the areas in which we are active. Additionally, pending patent applications which have been published can, subject to certain limitations, be later amended in a manner that could cover ficerafusp alfa or related technology. We cannot predict whether third parties will be able to successfully obtain claims or the breadth of such claims.</w:t>
      </w:r>
    </w:p>
    <w:p>
      <w:pPr>
        <w:spacing w:after="0" w:line="293"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intellectual property licenses with third parties, we could lose license rights that are important to our business.</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currently party to intellectual property license agreements. These license agreements impose, and we expect that future license agreements may impose, various obligations on us. For example, we have entered into patent and know-how license agreements that grant us the right to use certain technologies related to our clinical product candidate and related methods.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third-party intellectual property that may be required to develop and commercialize ficerafusp alfa.</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rights, through patents that we have in-licensed or own, to the intellectual property to develop ficerafusp alfa. Because our programs may involve additional product candidates, that may require the use of intellectual property or proprietary rights held by third parties, the growth of our business may depend in part on our ability to acquire, in-license or use such intellectual property and proprietary rights. We may be unable to acquire or in-license any third-party intellectual property or proprietary rights or to do so on commercially reasonable terms. For example, we sometimes collaborate with public or private academic institutions to accelerate our research or development under written agreements with these institutions. Typically, these institutions provide us with an option to negotiate a license to any of the institution’s rights in technology resulting from the strategic collaboration. Regardless of such option,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 The same situation may occur with a present or future development partner.</w:t>
      </w:r>
    </w:p>
    <w:p>
      <w:pPr>
        <w:spacing w:after="0" w:line="188"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and proprietary rights is a competitive area, and a number of more established companies are also pursuing strategies to license or acquire third-party intellectual property and proprietary rights that we may consider attractive or necessary. These established companies may have a competitive advantage over us due to their size and greater capital resources and development and commercialization capabilities. In addition, companies that perceive us to be a competitor may be unwilling to assign or license intellectual property and proprietary rights to us.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acquire or in-license rights to required third-party intellectual property and proprietary rights or maintain our intellectual property and proprietary rights, we may have to cease development of the relevant the relevant program, product or product candidate, which could have a material adverse effect on our business.</w:t>
      </w:r>
    </w:p>
    <w:p>
      <w:pPr>
        <w:spacing w:after="0" w:line="280"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USPTO and various foreign patent offices require compliance with a number of procedural, documentary, fee payment and other similar provisions during the patent prosecution and post grant or issuance. We employ reputable law firms and other professionals to help us comply. Additionally, periodic maintenance fees, renewal fees, annuity fees and various other governmental fees on patents and/or patent applications will be due to the USPTO and various foreign patent offices at various points over the lifetime of our patents and/or patent applications. We rely on our outside counsel or our agents to pay these fees when due.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such an event were to occur, it could have a material adverse effect on our business. In addition, we may be responsible for the payment of patent fees for patent rights that we license from third parties. If any licensor of these patents does not itself elect to make these payments, and we fail to do so, we may be liable to the licensor for any costs and consequences of any resulting loss of patent rights. If we or our existing or future licensors fail to maintain the patents and patent applications covering ficerafusp alfa, our competitors might be able to enter the market, which would have an adverse effect on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foreign legislation for extending the term of patents covering ficerafusp alfa, our business may be materially harmed.</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Patents typically have a limited lifespan. In the U.S., if all maintenance fees are timely paid, the natural expiration of a patent is generally 20 years from its earliest U.S. non-provisional filing date, not including potential patent term extensions or adjustments that may be available in the U.S., and under comparable laws applicable outside the U.S., where certain conditions are met. Various extensions may be available, but the life of a patent, and the protection it affords, is limited. Even if patents covering ficerafusp alfa are obtained, once the patent life has expired for a product candidate, we may be open to competition from competitive medications, including biosimilar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causing our revenue from applicable products to be reduced, possibly materially, and potentially harming our ability to recover our investment in such product or obtain a reasonable return on that investment.</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ficerafusp alfa,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9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or concurrently employed at other biotechnology or pharmaceutical companies, universities, and/or research institutions and the like,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ficerafusp alfa, are rightfully owned by their former or concurrent employer.</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Even if we are successful in defending against these claims, litigation could result in substantial costs and be a distraction to management. 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ficerafusp alfa. Such a license may not be available on commercially reasonable terms or at all.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arising from conflicting obligations of employees, consultants or others who are involved in developing our product candidates.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Healthcare, Insurance and Legal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ficerafusp alfa.</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ficerafusp alfa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85"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we may develop;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ficerafusp alfa,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291"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ficerafusp alfa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7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including but not limited to Medicare and Medicaid, private health insurers and other third-party payors are essential for most patients to be able to afford prescription medications such as ficerafusp alfa or any future product candidates, if approved. Our ability to achieve coverage and acceptable levels of reimbursement for our products by third-party payors will have an effect on our ability to successfully commercialize those products.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more information, see the section titled “</w:t>
      </w:r>
      <w:r>
        <w:rPr>
          <w:rFonts w:ascii="Times New Roman" w:cs="Times New Roman" w:eastAsia="Times New Roman" w:hAnsi="Times New Roman"/>
          <w:sz w:val="18"/>
          <w:szCs w:val="18"/>
          <w:i w:val="1"/>
          <w:iCs w:val="1"/>
          <w:color w:val="auto"/>
        </w:rPr>
        <w:t>Business—Government Regulation—Pharmaceutical Coverage,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Reimbursement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ficerafusp alfa or any future product candidates.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(including products administered in the clinical setting), obtaining coverage and adequate reimbursement may be particularly difficult because of the higher prices often associated with such drugs. Additionally, separate reimbursement for the product itself or the administration of the product, or the treatment or procedure in which the product is used, may not be available, which may impact physician utilization.</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ficerafusp alfa or any future product candidates, if approved in these jurisdictions. In many countries, the prices of medical products are subject to varying price control mechanisms as part of national health systems. Other countries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w:t>
      </w:r>
    </w:p>
    <w:p>
      <w:pPr>
        <w:spacing w:after="0" w:line="187"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and Medicaid beneficiaries,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our product candidate may lose any marketing approval that may have been obtained and we may not achieve or sustain profitability, which would adversely affect our business.</w:t>
      </w:r>
    </w:p>
    <w:p>
      <w:pPr>
        <w:spacing w:after="0" w:line="298"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6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foreign, federal and state fraud and abuse and other healthcare laws and regulations. These laws may constrain the business or financial arrangements and relationships through which we conduct our operations, including how we research, and plan to market, sell and distribute any products for which we obtain regulatory approval. For more information, see the section titled “</w:t>
      </w:r>
      <w:r>
        <w:rPr>
          <w:rFonts w:ascii="Times New Roman" w:cs="Times New Roman" w:eastAsia="Times New Roman" w:hAnsi="Times New Roman"/>
          <w:sz w:val="18"/>
          <w:szCs w:val="18"/>
          <w:i w:val="1"/>
          <w:iCs w:val="1"/>
          <w:color w:val="auto"/>
        </w:rPr>
        <w:t>Business—Government Regulation— Other U.S. Healthcare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to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noncompliant with applicable laws or regulations, they may be subject to significant criminal, civil or administrative sanctions, including exclusions from government-funded healthcare programs. We plan to implement a corporate compliance program designed to identify, prevent and mitigate risk through the implementation of policies and procedures, training, and auditing and monitoring. We expect to devote resources to implement, maintain, administer and expand the compliance program as necessary. We cannot be certain, however, that our compliance program will ensure compliance with the various complex laws and regulations to which we are subject now or in the future.</w:t>
      </w:r>
    </w:p>
    <w:p>
      <w:pPr>
        <w:spacing w:after="0" w:line="28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coverage for and commercialize ficerafusp alfa, if approved, or any future product candidates and may adversely affect the prices we may set.</w:t>
      </w:r>
    </w:p>
    <w:p>
      <w:pPr>
        <w:spacing w:after="0" w:line="5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we expect there will continue to be, a number of legislative and regulatory changes to the healthcare system, including cost-containment measures that may reduce or limit coverage and reimbursement for newly approved drugs and biologics and affect our ability to profitably sell ficerafusp alfa or any future product candidates for which we obtain regulatory approval. In particular, there have been and continue to be a number of initiatives at the U.S. federal and state levels that seek to reduce healthcare costs and improve the quality of healthcare. For more information, see the section titled “</w:t>
      </w:r>
      <w:r>
        <w:rPr>
          <w:rFonts w:ascii="Times New Roman" w:cs="Times New Roman" w:eastAsia="Times New Roman" w:hAnsi="Times New Roman"/>
          <w:sz w:val="18"/>
          <w:szCs w:val="18"/>
          <w:i w:val="1"/>
          <w:iCs w:val="1"/>
          <w:color w:val="auto"/>
        </w:rPr>
        <w:t>Business—Government Regulation—Current and Future U.S. Healthcare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ficerafusp alfa and any future product candidates, if approved, or put pressure on our product pricing, which could negatively affect our business, financial condition, results of operations and prospects.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that these existing laws and other federal and state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ficerafusp alfa or any future product candidates, if approved.</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related to the protection of research subjects could result in fines, penalties, and litigation, and have a material adverse effect upon our business.</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subject to regulation under international, federal, state, and local laws and regulations relating to the protection of research subjects. Federally funded human-subject research in the U.S., including the collection of identifiable human biospecimens, is governed by 45 CFR Part 46, also known as the Health and Human Services Policy for Protection of Human Research Subjects or the “Common Rule.” Use of biospecimens in certain other research is subject to FDA regulations for the Protection of Human Subjects and Institutional Review Boards at 21 CFR Parts 50 and 56. Research funded by the National Institutes of Health, or NIH, may be subject to grant or contract requirements, as well as NIH Certificates of Confidentiality. When collecting specimens for research in the U.S., our company and its collection sites are responsible for ensuring that specimens are collected in accordance with these regulations. In addition, other countries have their own regulations around the ethical collection of human specimens for research. While we believe that we are in compliance with these laws, we may not be aware of all such laws or may fail to properly audit and identify gaps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compliance. Similarly, we may find errors in our product candidates and processes and may fail to properly match the compliance requirements of our researchers to the compliance requirements of our suppliers. Failure of our company or our suppliers to comply with international, federal, state, and local laws and regulations could subject us to denial of the right to conduct business, fines, criminal penalties, and/or other enforcement actions which could have a material adverse effect on our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Manufacturing of Our Product Candidates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In addition, we may need a different CMO for manufacturing ficerafusp alfa or any future product candidates for commercial supply needs. Such changes carry the risk that they will not achieve these intended objectives. Any of these changes could cause ficerafusp alfa or any future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ficerafusp alfa and jeopardize our ability to commence sales and generate revenue.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ficerafusp alfa.</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process of manufacturing product therapeutics and bispecifics, including ficerafusp alfa, is complex, time-consuming, highly regulated and subject to several risks, including:</w:t>
      </w:r>
    </w:p>
    <w:p>
      <w:pPr>
        <w:spacing w:after="0" w:line="67" w:lineRule="exact"/>
        <w:rPr>
          <w:sz w:val="20"/>
          <w:szCs w:val="20"/>
          <w:color w:val="auto"/>
        </w:rPr>
      </w:pPr>
    </w:p>
    <w:p>
      <w:pPr>
        <w:jc w:val="both"/>
        <w:ind w:left="1080" w:right="20" w:hanging="532"/>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 the manufacturing facilities in which our products are made could be adversely affected by equipment failures, labor and raw material shortages, natural disasters, power failures and numerous other factors; and</w:t>
      </w:r>
    </w:p>
    <w:p>
      <w:pPr>
        <w:spacing w:after="0" w:line="92"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ficerafusp alfa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jc w:val="both"/>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product candidates, leverage our potential and our future growth depends on attracting, hiring and retaining our key personnel and recruiting additional qualified personnel. If we are not successful in attracting, motivating and retaining highly qualified personnel, we may not be able to successfully implement our business strategy. Additionally, we will need to grow the size of our organization, and we may experience difficulties in managing this growth.</w:t>
      </w:r>
    </w:p>
    <w:p>
      <w:pPr>
        <w:spacing w:after="0" w:line="7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the services of any of them may adversely impact the achievement of our objectives. The loss of services of any of these individuals could delay or prevent the successful development of ficerafusp alfa, completion of our planned clinical trials or the commercialization of ficerafusp alfa.</w:t>
      </w:r>
    </w:p>
    <w:p>
      <w:pPr>
        <w:spacing w:after="0" w:line="176"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success also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dual-action biologics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scientists,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our recruitment and retention efforts are unsuccessful in the future, it may be difficult for us to implement our business strategy, which would have a material adverse effect on our business.</w:t>
      </w:r>
    </w:p>
    <w:p>
      <w:pPr>
        <w:spacing w:after="0" w:line="19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our development plans and strategies develop, and as we continue operating as a public company, we expect to need additional managerial, operational, marketing, sales, financial and other personnel. Future growth would impose significant added responsibilities on members of management, including:</w:t>
      </w:r>
    </w:p>
    <w:p>
      <w:pPr>
        <w:spacing w:after="0" w:line="81" w:lineRule="exact"/>
        <w:rPr>
          <w:sz w:val="20"/>
          <w:szCs w:val="20"/>
          <w:color w:val="auto"/>
        </w:rPr>
      </w:pPr>
    </w:p>
    <w:p>
      <w:pPr>
        <w:ind w:left="1080" w:right="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ficerafusp alfa and any other future product candidates we develop,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ficerafusp alfa and any future product candidates we develop, will depend, in part, on our ability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 effectively manage any future growth, and our management may have to divert a disproportionate amount of its attention away from day-to-day activities in order to devote a substantial amount of time to managing these growth activities.</w:t>
      </w:r>
    </w:p>
    <w:p>
      <w:pPr>
        <w:spacing w:after="0" w:line="16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ficerafusp alfa or any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ficerafusp alfa or any future product candidates we develop and, accordingly, may not achieve our research, development and commercialization goals.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an active trading market may not develop or be sustained.</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has been no public market for our common stock prior to this offering. The initial public offering price for our common stock may vary from the market price of our common stock following this offering. An active or liquid market in our common stock may not develop upon closing of this offering or, if it does develop, it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section and elsewhere in this prospectus, these factors include:</w:t>
      </w:r>
    </w:p>
    <w:p>
      <w:pPr>
        <w:spacing w:after="0" w:line="81"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completion or results of our current or future preclinical and clinical trials for ficerafusp alfa;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identifying and advancing a clinical candidate for our other programs;</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ficerafusp alfa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suspensions or terminations in future preclinical studies or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or potential accelerated approval of ficerafusp alfa or the failure of a regulatory authority to accept data from preclinical studies or clinical trials conducted in other countries;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ficerafusp alfa, including but not limited to clinical trial requirements for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ficerafusp alfa, if approved;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ficerafusp alfa or any future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ficerafusp alfa in particular, or positive or negative recommendations or withdrawal of research coverage by securities analysts;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due to a variety of factors, many of which are outside of our control and may be difficult to predict,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if approved, commercialization activities relating to ficerafusp alfa or any future product candidates, which may change from time to time;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clinical trials;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ficerafusp alfa, as well as building out our supply chain, which may vary depending on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any milestone, royalty or other payments due under any collaboration or license agreement;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ficerafusp alfa or competing product candidates, or any other change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for ficerafusp alfa from regulatory authorities in the U.S. and internationally;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ficerafusp alfa, if approved, and potential future drugs that compete with our products;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ficerafusp alfa, if approved, may vary significantly over time.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7"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8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respective affiliates own a significant percentage of our stock and will be able to exert significant control over matters subject to stockholder approval.</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August 1, 2024, prior to this offering, our executive officers, directors, holders of 5% or more of our capital stock and their respective affiliates beneficially owned approximately 64.1% of our common stock and, upon the completion of this offering, that same group will hold approximately 44.8% of our outstanding common stock (assuming no exercise of the underwriters’ option to purchase additional shares, no exercise of outstanding options and no purchases of shares in this offering by any of this group), in each case assuming the conversion of all outstanding shares of our preferred stock into shares of our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In addition, certain of our principal stockholders, including RA Capital and TPG LSA, have designated certain members of our board of directors.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common stock price to fall.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48,966,807 shares of common stock will be outstanding (or 51,172,689 shares if the underwriters exercise their option to purchase additional shares from us in full), based on the number of shares outstanding as of June 30, 2024.</w:t>
      </w:r>
    </w:p>
    <w:p>
      <w:pPr>
        <w:spacing w:after="0" w:line="16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shares of common stock expected to be sold in this offering will be freely tradable without restriction or further registration under the Securities Act unless held by our “affiliates” as defined in Rule 144 under the Securities Act. The resale of the remaining 34,260,925 shares, or 70.0%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on the 181st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the holders of approximately 33,210,876 shares, or 67.8%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how we use the proceeds of this offering and may not use these proceeds effectively, which could affect our results of operations and cause our stock price to decline.</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currently intend to use our cash resources for clinical development of ficerafusp alfa, the advancement of future preclinical and discovery programs, and for working capital and other general corporate purposes. Although we currently intend to use our cash resources in such a manner, we will have broad discretion in their application, including for any of the purposes described in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Our failure to apply these funds effectively could affect our ability to continue to develop and commercialize ficerafusp alfa. Pending their use, we may invest our cash resources in a manner that does not produce income or loses value.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our initial public offering, you will experience substantial and immediate dilution.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assumed initial public offering price of $17.00 per share, which is the midpoint of the price range set forth on the cover page of this prospectus, is substantially higher than the pro forma as adjusted net tangible book value per share of our outstanding common stock immediately following the completion of this offering. If you purchase shares of common stock in this offering, you will experience substantial and immediate dilution in the pro forma as adjusted net tangible book value per share of $8.40 per share as of June 30, 2024. That is because the price that you pay will be substantially greater than the pro forma as adjusted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if the underwriters exercise their option to purchase additional shares in this offering, when those holding stock options exercise their right to purchase common stock under our equity incentive plans, upon the vesting of outstanding restricted stock awards or when we otherwise issue additional shares of common stock. For additional details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stockholders and/or their affiliated entities may reduce the public float for our common stock.</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our existing stockholders who are our affiliates or their affiliated entities participate in this offering, such purchases would reduce the non-affiliate public float of our common stock after this offering, which is the number of shares of common stock that are not held by our officers, directors and affiliated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stockholders. A reduction in the public float could reduce the number of shares of common stock that can be traded at any given time, which could adversely impact the liquidity of our common stock and depress the price at which you may be able to sell shares of common stock purchased in this offering.</w:t>
      </w:r>
    </w:p>
    <w:p>
      <w:pPr>
        <w:spacing w:after="0" w:line="28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8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fifth amended and restated certificate of incorporation, which will become effective immediately prior to the completion of this offering, and amended and restated bylaws, which will become effective upon the effectiveness of the registration statement of which this prospectus forms a part, will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7"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532"/>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two-thirds of the votes that all our stockholders would be entitled to cast to amend or repeal specified provisions of our third amended and restated certificate of incorporation or amended and restated bylaws.</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that will become effective upon the effectiveness of this registration statement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bylaws that will become effective upon the completion of this offering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certificate of incorporation or our bylaws (including the interpretation, validity or enforceability thereof),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will not apply to any causes of action arising under the Securities Act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or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9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other courts, including courts where a stockholder considering an action may be located or would otherwise choose to bring the action, and such judgments may be more or less favorable to us than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satisfy listing requirements of Nasdaq or obtain or maintain a listing of our common stock on Nasdaq.</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the 2024 presidential election in the United States, military conflict, including the ongoing conflicts between Russia and Ukraine, and Israel and Hamas, terrorism, or other geopolitical events. Sanctions imposed by the U.S.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295"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clinical trial results or delaying our ability to obtain regulatory approval for ficerafusp alfa, it may be difficult or, in certain cases, impossible for us to continue our business for a substantial period of time.</w:t>
      </w:r>
    </w:p>
    <w:p>
      <w:pPr>
        <w:spacing w:after="0" w:line="266"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used by our CROs or other contractors or consultants, may fail or suffer cybersecurity incidents or breaches, which could adversely affect our business.</w:t>
      </w:r>
    </w:p>
    <w:p>
      <w:pPr>
        <w:spacing w:after="0" w:line="5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data and those of our current or future CROs or other contractors and consultants are vulnerable to compromise or damage from computer hacking, computer viruses, social engineering (e.g., phishing attacks) and malware (e.g., ransomware malicious software),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constantly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cybersecurity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IT personnel, periodic cyber security awareness trainings, and improvements to IT infrastructure and controls, and conduct regular testing of our systems, there can be no assurance that our efforts will prevent service interruptions or cybersecurity incidents or breaches.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 attempts or incidents and cybersecurity incidents. Any cybersecurity incident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 cybersecurity incident to date, if such an event were to occur, it could seriously harm our development programs and our business operations. We could be subject to cybersecurity incident or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distract management. Further, a cybersecurity incident may disrupt our business or damage our reputation, which could have a material adverse effect on our business, prospects, operating results, share price and shareholder value, and financial condition. We could also incur substantial remediation costs, including the costs of investigating the incident, repairing or replacing damaged systems, restoring normal business operations, implementing increased cybersecurity protections, and paying increased insurance premiums.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example, the loss of clinical trial data from completed, ongoing or future clinical trials could result in delays in our regulatory approval efforts and significantly increase our costs to recover or reproduce the data. If a cybersecurity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security laws. Likewise, we rely on our third-party research institution collaborators for research and development of ficerafusp alfa and other third parties for the manufacture of ficerafusp alfa and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cybersecurity incident or breach were to result in a loss of, or damage to, our data or systems, or inappropriate disclosure of confidential or proprietary or personal information, we could incur liability, our competitive position could be harmed, and the further development and commercialization of ficerafusp alfa could be delayed, result in substantial costs and distract management.</w:t>
      </w:r>
    </w:p>
    <w:p>
      <w:pPr>
        <w:spacing w:after="0" w:line="29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this prospectus. 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3"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and a correspondingly reduced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disclosure in this prospectus;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this prospectus and our periodic reports and proxy statements. We cannot predict if investors will find our common stock less attractive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because we may rely on these exemptions. If some investors find our common stock less attractive as a result, there may be a less active trading market for our common stock and our share price may be more volatile.</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Securities and Exchange Commission, or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this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$80.4 million of federal net operating losses, or NOLs. Federal NOLs generated in taxable years since inception, may be carried forward indefinitely, but the deductibility of such federal NOLs is limited to 80% of our taxable income. As of December 31, 2023, we had approximately $75.6 million of state NOLs. Of the state NOLs, some are of indefinite life, but most are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definite life with various expiration dates, beginning in 2039. As of December 31, 2023, we had approximately $1.3 million of federal research and development tax credit carryforwards. Federal tax credit carryforwards expire at various dates, beginning in 2040. As of December 31, 2023, we had approximately $0.3 million of state research and development tax credit carryforwards. The state tax credits, which have various carryforward rules, begin to expire in 2035.</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our acquisitions of assets and as a result of this offering and/or subsequent shifts in our stock ownership (some of which are outside our control).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 and insurance coverage may not be sufficient to cover all costs and damages.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including the sections titled “</w:t>
      </w:r>
      <w:r>
        <w:rPr>
          <w:rFonts w:ascii="Times New Roman" w:cs="Times New Roman" w:eastAsia="Times New Roman" w:hAnsi="Times New Roman"/>
          <w:sz w:val="18"/>
          <w:szCs w:val="18"/>
          <w:i w:val="1"/>
          <w:iCs w:val="1"/>
          <w:color w:val="auto"/>
        </w:rPr>
        <w:t>Prospectus Summary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contains express or implied forward-looking statements that are based on our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90" w:lineRule="exact"/>
        <w:rPr>
          <w:sz w:val="20"/>
          <w:szCs w:val="20"/>
          <w:color w:val="auto"/>
        </w:rPr>
      </w:pPr>
    </w:p>
    <w:p>
      <w:pPr>
        <w:jc w:val="both"/>
        <w:ind w:left="1080" w:right="20" w:hanging="532"/>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ficerafusp alfa, including the Phase 2/3 trial in head and neck squamous cell carcinoma, or HNSCC, and the potential expansion Phase 1 trial in additional HNSCC patient populations, as well as our research and development programs and our current and future preclinical and clinical studies;</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the potential to secure pembrolizumab for our clinical trials and successfully manufacture our drug substances and ficerafusp alfa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clinical trials to demonstrate safety and efficacy of ficerafusp alfa, and other positive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and the potential safety, efficacy and therapeutic effects of ficerafusp alfa;</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for ficerafusp alfa and future product candidates, including the timing of INDs and final FDA approval of ficerafusp alfa or any future product candidate;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foreign regulatory filings and approvals;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and our ability to initiate, recruit and enroll patients in and conduct and successfully complete our clinical trials at the pace that we project;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further develop the specific shipping, storage, handling and administration of ficerafusp alfa at the clinical sites;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ficerafusp alfa;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ficerafusp alfa;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ficerafusp alfa;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ficerafusp alfa, if approved;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ficerafusp alfa, if approved;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ficerafusp alfa and technology;</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ficerafusp alfa and other product candidate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and capital requirements and our needs for additional financing;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development and commercialization of ficerafusp alfa and any other approved product;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ficerafusp alfa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ficerafusp alfa;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Canada, European Union and other foreign countries;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ficerafusp alfa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2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our net proceeds from the sale of shares of our common stock in this offering will be approximately $228.4 million, or $263.2 million if the underwriters exercise their option to purchase additional shares of our common stock in full, assuming an initial public offering price of $17.00 per share, the midpoint of the estimated offering price range set forth on the cover page of this prospectus, and after deducting estimated underwriting discounts and commissions and estimated offering expenses payable by us.</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$17.00 per share, the midpoint of the estimated offering price range set forth on the cover page of this prospectus, would increase (decrease) our net proceeds from this offering by $13.7 million, assuming the number of shares offered by us, as set forth on the cover page of this prospectus, remains the same and after deducting estimated underwriting discounts and commissions and estimated offering expenses payable by us. Each 1.0 million share increase (decrease) in the number of shares offered by us, as set forth on the cover page of this prospectus, would increase (decrease) our net proceeds from this offering by $15.8 million, assuming no change in the assumed initial public offering price of $17.00 per share and after deducting estimated underwriting discounts and commissions and estimated offering expenses payable by us.</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principal purposes of this offering are to create a public market for our common stock and thereby facilitate future access to the public equity markets, increase our visibility in the marketplace and obtain additional capital. We currently intend to use the net proceeds from this offering, together with our existing cash and cash equivalents, for the following:</w:t>
      </w:r>
    </w:p>
    <w:p>
      <w:pPr>
        <w:spacing w:after="0" w:line="81" w:lineRule="exact"/>
        <w:rPr>
          <w:sz w:val="20"/>
          <w:szCs w:val="20"/>
          <w:color w:val="auto"/>
        </w:rPr>
      </w:pPr>
    </w:p>
    <w:p>
      <w:pPr>
        <w:ind w:left="1080" w:right="2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$265 million to advance the development of ficerafusp alfa in head and neck squamous cell carcinoma, or HNSCC, and fund our pivotal Phase 2/3 trial for the filing of a Biologics License Application;</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million to fund expansion of ficerafusp alfa development in additional HNSCC patient populations, such as those with combined positive scores less than one and locally advanced HNSCC;</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million to advance the development of ficerafusp alfa in additional solid tumors, such as colorectal cancer and other squamous cell carcinomas including the initiation of clinical trials, clinical research outsourcing and drug manufacturing;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working capital and other general corporate purposes.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Based on our current plans, we believe that our existing cash and cash equivalents and together with the net proceeds from this offering, will be sufficient to enable us to fund our operating expenses and capital expenditure requirements into the first half of 2029. We have based this estimate on assumptions that may prove to be wrong, and we could use our available capital resources sooner than we currently expect. We do not have any committed external source of funds.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expect that we will require additional funds in order to fully accomplish the specified uses of the proceeds of this offering. We may also use a portion of the net proceeds to in-license, acquire or invest in complementary businesses or technologies to continue to build our pipeline, research and development capabilities and our intellectual property position, although we currently have no agreements, commitments or understandings with respect to any such transaction.</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Due to the many inherent uncertainties in the development of our product candidate, the amounts and timing of our actual expenditures may vary significantly depending on numerous factors, including the progress of our research and development, the timing of patient enrollment and evolving regulatory requirements, the timing and success of our ongoing clinical studies or clinical studies we may commence in the future, the timing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regulatory submissions, any strategic alliances that we may enter into with third parties for our product candidate or strategic opportunities that become available to us, and any unforeseen cash needs.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 Our management will retain broad discretion in the application of the net proceeds we receive from our initial public offering, and investors will be relying on the judgment of our management regarding the application of the net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intend to pay cash dividends to our stockholders in the foreseeable future. We currently intend to retain all available funds and any future earnings to fund the growth and development of our business. Any future determination to declare dividends will be made at the discretion of our board of directors and will depend on then-existing conditions, including our financial condition, operating results, contractual restrictions, capital requirements, general business conditions and other factors that our board of directors may deem relevant.</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our ability to pay cash dividends on our capital stock in the future may be limited by the terms of any future debt or preferred securities we issue or any credit facilities we enter into.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2024:</w:t>
      </w:r>
    </w:p>
    <w:p>
      <w:pPr>
        <w:spacing w:after="0" w:line="131"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automatic conversion of all 306,985,117 outstanding shares of our redeemable convertible preferred stock in the aggregate into an aggregate of 33,210,876 shares of common stock prior to the completion of this offering and (ii) the filing and effectiveness of our fifth amended and restated certificate of incorporation prior to the completion of this offering, in each case as if such events had occurred on June 30, 2024; and</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the issuance and sale of 14,705,882 shares of common stock in this offering at an assumed initial public offering price of $17.00 per share, which is the midpoint of the estimated offering price range set forth on the cover page of this prospectus, after deducting estimated underwriting discounts and commissions and estimated offering expenses payable by us.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financial statements and the related notes appearing at the end of this prospectus and in the section titled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20" w:type="dxa"/>
            <w:vAlign w:val="bottom"/>
          </w:tcPr>
          <w:p>
            <w:pPr>
              <w:spacing w:after="0"/>
              <w:rPr>
                <w:sz w:val="10"/>
                <w:szCs w:val="10"/>
                <w:color w:val="auto"/>
              </w:rPr>
            </w:pPr>
          </w:p>
        </w:tc>
        <w:tc>
          <w:tcPr>
            <w:tcW w:w="13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Pr>
          <w:p>
            <w:pPr>
              <w:spacing w:after="0"/>
              <w:rPr>
                <w:sz w:val="10"/>
                <w:szCs w:val="10"/>
                <w:color w:val="auto"/>
              </w:rPr>
            </w:pPr>
          </w:p>
        </w:tc>
        <w:tc>
          <w:tcPr>
            <w:tcW w:w="100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560" w:type="dxa"/>
            <w:vAlign w:val="bottom"/>
            <w:tcBorders>
              <w:top w:val="single" w:sz="8" w:color="auto"/>
            </w:tcBorders>
            <w:gridSpan w:val="5"/>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(Unaudited, in thousands except shares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203,855</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203,855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432,224</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Seed redeemable convertible preferred stock, $0.0001 par value,</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81,790,144 authorized, issued and outstanding actual; no shares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and pro forma as adjusted</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81,525</w:t>
            </w: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stock, $0.0001 par value,</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105,595,101 shares authorized, issued and outstanding actual; no shares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and pro forma as adjusted</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121,148</w:t>
            </w:r>
          </w:p>
        </w:tc>
        <w:tc>
          <w:tcPr>
            <w:tcW w:w="520" w:type="dxa"/>
            <w:vAlign w:val="bottom"/>
          </w:tcPr>
          <w:p>
            <w:pPr>
              <w:spacing w:after="0"/>
              <w:rPr>
                <w:sz w:val="20"/>
                <w:szCs w:val="20"/>
                <w:color w:val="auto"/>
              </w:rPr>
            </w:pP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redeemable convertible preferred stock, $0.0001 par value,</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119,599,872 shares authorized, issued and outstanding actual; no shares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and pro forma as adjusted</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164,604</w:t>
            </w: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or</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 10,000,000 shares authorized and no shares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or outstanding, pro forma and pro forma as adjusted .</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365,000,000 shares authorized,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1,053,545 shares issued and 1,023,541 shares outstanding, actual;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365,000,000 shares authorized, 34,260,925 shares issued and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pro forma; 500,000,000 shares authorized,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48,966,807 shares issued and outstanding, pro forma as adjusted</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0"/>
                <w:szCs w:val="20"/>
                <w:color w:val="auto"/>
              </w:rPr>
            </w:pP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65"/>
        </w:trPr>
        <w:tc>
          <w:tcPr>
            <w:tcW w:w="5380" w:type="dxa"/>
            <w:vAlign w:val="bottom"/>
          </w:tcPr>
          <w:p>
            <w:pPr>
              <w:spacing w:after="0"/>
              <w:rPr>
                <w:sz w:val="24"/>
                <w:szCs w:val="24"/>
                <w:color w:val="auto"/>
              </w:rPr>
            </w:pPr>
          </w:p>
        </w:tc>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4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0" w:type="dxa"/>
            <w:vAlign w:val="bottom"/>
            <w:tcBorders>
              <w:top w:val="single" w:sz="8" w:color="auto"/>
            </w:tcBorders>
            <w:gridSpan w:val="8"/>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(Unaudited, in thousands except shares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375,074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603,441</w:t>
            </w:r>
          </w:p>
        </w:tc>
        <w:tc>
          <w:tcPr>
            <w:tcW w:w="0" w:type="dxa"/>
            <w:vAlign w:val="bottom"/>
          </w:tcPr>
          <w:p>
            <w:pPr>
              <w:spacing w:after="0"/>
              <w:rPr>
                <w:sz w:val="1"/>
                <w:szCs w:val="1"/>
                <w:color w:val="auto"/>
              </w:rPr>
            </w:pPr>
          </w:p>
        </w:tc>
      </w:tr>
      <w:tr>
        <w:trPr>
          <w:trHeight w:val="21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(182,578)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(182,578)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(182,578)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(174,776)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192,501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420,870</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192,501</w:t>
            </w:r>
          </w:p>
        </w:tc>
        <w:tc>
          <w:tcPr>
            <w:tcW w:w="8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hanging="424"/>
        <w:spacing w:after="0" w:line="254"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$1.00 increase (decrease) in the assumed initial public offering price of $17.00 per share, which is the midpoint of the price range set forth on the cover page of this prospectus, would increase (decrease) the pro forma as adjusted amount of each of cash and cash equivalents, total stockholders’ equity and total capitalization by $13.7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total stockholders’ equity and total capitalization by $15.8 million, assuming no change in the assumed initial public offering price per share and after deducting estimated underwriting discounts and commissions and estimated offering expenses payable by us.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in the table above on a pro forma and pro forma as-adjusted basis is based on 34,260,925 shares of our common stock (which includes 14,006 shares of unvested restricted common stock and 12,502 shares of unvested early exercise stock options) outstanding as of June 30, 2024, after giving effect to the automatic conversion of all outstanding shares of our redeemable convertible preferred stock into an aggregate of 33,210,876 shares of our common stock immediately prior to the completion of this offering, and excludes:</w:t>
      </w:r>
    </w:p>
    <w:p>
      <w:pPr>
        <w:spacing w:after="0" w:line="85" w:lineRule="exact"/>
        <w:rPr>
          <w:sz w:val="20"/>
          <w:szCs w:val="20"/>
          <w:color w:val="auto"/>
        </w:rPr>
      </w:pPr>
    </w:p>
    <w:p>
      <w:pPr>
        <w:ind w:left="1080" w:right="2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4,608,707 shares of common stock issuable upon the exercise of stock options outstanding as of June 30, 2024 under our 2019 Plan (which number excludes 12,502 shares of unvested early exercise stock options) at a weighted average exercise price of $4.62 per share;</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3,240,096 shares of common stock issuable upon the exercise of stock options granted after June 30, 2024 pursuant to our 2019 Plan at a weighted average exercise price of $9.24 per share;</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338,126 shares of common stock reserved for future issuance as of June 30, 2024 under the 2019 Plan (which number was reduced to 73,076 after giving effect to (i) a plan amendment approved and adopted by the Board and shareholders of the Company after June 30, 2024 and (ii) the issuance of options to purchase up to 3,240,096 shares of common stock granted after June 30, 2024), which shares will cease to be available for issuance at the time our 2024 Plan becomes effective;</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507,383 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and</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2,453,616 shares of our common stock reserved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2019 Plan that expire or are repurchased, forfeited, cancelled, or withheld.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 Dilution in pro forma as adjusted net tangible book value represents the difference between the assumed initial price to the public per share of our common stock and the pro forma as adjusted net tangible book value per share of our common stock immediately after this offering.</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historical net tangible book value as of June 30, 2024 was a deficit of $(174.8) million, or $(166.45) per share of our common stock. Our historical net tangible book value (deficit) is the amount of our total tangible assets (total assets excluding goodwill and intangible assets) less our total liabilities and the carrying values of our redeemable convertible preferred stock, which is not included within stockholders’ deficit. Our historical net tangible book value per share represents historical net tangible book deficit divided by the number of shares of our common stock outstanding as June 30, 2024, including 14,006 shares of unvested restricted stock awards and 12,502 shares of unvested early exercise stock options (which are not considered outstanding for accounting purposes).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pro forma net tangible book value as of June 30, 2024 was $192.5 million, or $5.62 per share of our common stock. Pro forma net tangible book value represents the amount of our total tangible assets less our total liabilities, after giving effect to the automatic conversion of all 306,985,117 outstanding shares of our redeemable convertible preferred stock in the aggregate into an aggregate of 33,210,876 shares of common stock immediately prior to the completion of this offering. Pro forma net tangible book value per share represents pro forma net tangible book value divided by the total number of shares outstanding as of June 30, 2024, after giving effect to the pro forma adjustment described above.</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giving further effect to our issuance and sale of 14,705,882 shares of our common stock in this offering at an assumed initial public offering price of $17.00 per share, the midpoint of the price range set forth on the cover page of this prospectus, and after deducting estimated underwriting discounts and commissions and estimated offering expenses payable by us, our pro forma as adjusted net tangible book value as of June 30, 2024 would have been $420.9 million, or $8.60 per share. This amount represents an immediate increase in pro forma as adjusted net tangible book value per share of $2.98 to our existing stockholders and immediate dilution of $8.40 in pro forma as adjusted net tangible book value per share to new investors purchasing common stock in this offering.</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on a per share basis (without giving effect to any exercise by the underwriters of their option to purchase additional shares):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17.00</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(166.45)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5"/>
        </w:trPr>
        <w:tc>
          <w:tcPr>
            <w:tcW w:w="924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Pro forma net tangible book value per share as of June 30, 2024 attributable to the conversion of redeemable convertible</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participating in this offering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8.60</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common stock in this offering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w:t>
            </w:r>
          </w:p>
        </w:tc>
      </w:tr>
      <w:tr>
        <w:trPr>
          <w:trHeight w:val="20"/>
        </w:trPr>
        <w:tc>
          <w:tcPr>
            <w:tcW w:w="9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will change based on the actual initial public offering price and other terms of this offering determined at pricing. Each $1.00 increase (decrease) in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assumed initial public offering price of $17.00 per share, which is the midpoint of the price range set forth on the cover page of this prospectus, would increase (decrease) our pro forma as adjusted net tangible book value per share after this offering by $0.27 and dilution per share to new investors purchasing common stock in this offering by $0.73, assuming that the number of shares offered by us, as set forth on the cover page of this prospectus, remains the same and after deducting estimated underwriting discounts and commissions and estimated offering expenses payable by us. Each increase of 1.0 million shares in the number of shares offered by us, as set forth on the cover page of this prospectus, would increase our pro forma as adjusted net tangible book value per share after this offering by $0.14 and decrease dilution per share to new investors purchasing common stock in this offering by $0.14, assuming no change in the assumed initial public offering price per share and after deducting estimated underwriting discounts and commissions and estimated offering expenses payable by us. Each decrease of 1.0 million shares in the number of shares offered by us, as set forth on the cover page of this prospectus, would decrease our pro forma as adjusted net tangible book value per share after this offering by $0.16 and increase dilution per share to new investors purchasing common stock in this offering by $0.16, assuming no change in the assumed initial public offering price and after deducting estimated underwriting discounts and commissions and estimated offering expenses payable by us.</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underwriters exercise their option to purchase up to 2,205,882 additional shares of our common stock in full, our pro forma as adjusted net tangible book value per share after this offering would be $8.91 per share, representing an immediate increase in pro forma as adjusted net tangible book value per share of $0.31 to existing stockholders and immediate dilution in pro forma as adjusted net tangible book value per share of $8.09 per share to new investors purchasing common stock in this offering, based on the assumed initial public offering price of $17.00 per share, which is the midpoint of the estimated price range set forth on the cover page of this prospectus, and after deducting underwriting discounts and commissions and estimated offering expenses payable by us.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on the pro forma as adjusted basis described above, the total number of shares of common stock purchased from us on an as converted to common stock basis, the total consideration paid or to be paid, and the average price per share paid or to be paid by existing stockholders and by new investors in this offering at an assumed initial public offering price of $17.00 per share, before deducting estimated underwriting discounts and commissions and estimated offering expenses payable by 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36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2"/>
                <w:szCs w:val="12"/>
                <w:color w:val="auto"/>
              </w:rPr>
            </w:pPr>
          </w:p>
        </w:tc>
        <w:tc>
          <w:tcPr>
            <w:tcW w:w="2700" w:type="dxa"/>
            <w:vAlign w:val="bottom"/>
            <w:gridSpan w:val="4"/>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36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4"/>
            <w:vMerge w:val="continue"/>
          </w:tcPr>
          <w:p>
            <w:pPr>
              <w:spacing w:after="0"/>
              <w:rPr>
                <w:sz w:val="15"/>
                <w:szCs w:val="15"/>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34,260,925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$356,801,184</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14,705,882</w:t>
            </w: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6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250,000,000</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48,966,807</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606,801,184</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 additional shares in this offering. If the underwriters’ option to purchase additional shares of our common stock is exercised in full, the number of shares of our common stock held by existing stockholders would be reduced to 67% of the total number of shares of our common stock outstanding after this offering, and the number of shares of common stock held by new investors purchasing common stock in this offering would be increased to 33% of the total number of shares of our common stock outstanding after this offering.</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and tables above on a pro forma and pro forma as-adjusted basis are based on 34,260,925 shares of our common stock (which includes 14,006 shares of unvested restricted common stock and 12,502 shares of unvested early exercise stock options) outstanding as of June 30, 2024, after giving effect to the automatic conversion of all outstanding shares of our redeemable convertible preferred stock into the aggregate of 33,210,876 shares of our common stock immediately prior to the completion of this offering, and excludes:</w:t>
      </w:r>
    </w:p>
    <w:p>
      <w:pPr>
        <w:spacing w:after="0" w:line="85" w:lineRule="exact"/>
        <w:rPr>
          <w:sz w:val="20"/>
          <w:szCs w:val="20"/>
          <w:color w:val="auto"/>
        </w:rPr>
      </w:pPr>
    </w:p>
    <w:p>
      <w:pPr>
        <w:ind w:left="108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4,608,707 shares of common stock issuable upon the exercise of stock options outstanding as of June 30, 2024 under our 2019 Plan (which number excludes 12,502 shares of unvested early exercise stock options) at a weighted average exercise price of $4.62 per share;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3,240,096 shares of common stock issuable upon the exercise of stock options granted after June 30, 2024 pursuant to our 2019 Plan, at a weighted average exercise price of $9.24 per share;</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338,126 shares of common stock reserved for future issuance as of June 30, 2024 under the 2019 Plan (which number was reduced to 73,076 after giving effect to (i) a plan amendment approved and adopted by the Board and shareholders of the Company after June 30, 2024 and (ii) the issuance of options to purchase up to 3,240,096 shares of common stock granted after June 30, 2024), which shares will cease to be available for issuance at the time our 2024 Plan becomes effective;</w:t>
      </w:r>
    </w:p>
    <w:p>
      <w:pPr>
        <w:spacing w:after="0" w:line="85"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507,383 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and</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2,453,616 shares of our common stock reserved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2019 Plan that expire or are repurchased, forfeited, cancelled, or withheld.</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new stock options are issued or any outstanding options are exercised,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and related notes and other financial information included elsewhere in this prospectus and in conjunction with our audited consolidated financial statements.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bringing transformative bifunctional therapies to patients with solid tumors. Our lead program ficerafusp alfa is a bifunctional antibody that combines two clinically validated targets, an epidermal growth factor receptor, or EGFR, directed monoclonal antibody with a domain that binds to human transforming growth factor beta, or TGF-b. Through this dual-targeting mechanism, ficerafusp alfa has the potential to exert potent anti-tumor activity by simultaneously blocking both cancer cell-intrinsic EGFR survival and proliferation, as well as the immunosuppressive TGF-b signaling within the tumor microenvironment, or TME. Ficerafusp alfa directs the TGF-b inhibitor into the immediate TME through the binding of EGFR on tumor cells, which we believe will lead to durable responses and an increase in overall survival, or OS, while reducing the adverse effects typically associated with systemic TGF-b inhibition. Ficerafusp alfa is initially being developed in head and neck squamous cell carcinoma, or HNSCC, where there remains a significant unmet need. We intend to initiate a pivotal Phase 2/3 trial of ficerafusp alfa in combination with pembrolizumab as a first-line therapy in recurrent/metastatic, HNSCC excluding patients with HPV-positive oropharyngeal squamous cell carcinoma, or OPSCC, late in the fourth quarter of 2024 or early in the first quarter of 2025.</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our inception in December 2018, we have not generated any revenue from product sales or other sources and have incurred significant operating losses and negative cash flows from our operations. Our primary uses of cash to date have been conducting research and development, advancing development of ficerafusp alfa, raising capital, building infrastructure, developing intellectual property, hiring personnel and providing general and administrative support for these operations. To date, we have funded our operations primarily through private placements of our redeemable convertible preferred stock, sale of common stock and through debt financing. As of June 30, 2024, we had raised aggregate net proceeds of $354.1 million and had cash and cash equivalents of $203.9 million.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incurred operating losses in each year since our inception. Our net losses were $29.6 million and</w:t>
      </w:r>
    </w:p>
    <w:p>
      <w:pPr>
        <w:spacing w:after="0" w:line="27"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$16.7 million for the six months ended June 30, 2024 and 2023, respectively. Our net losses were $52.0 million and $37.8 million for the years ended December 31, 2023 and 2022, respectively. As of June 30, 2024, we had an accumulated deficit of $182.6 million. We expect our expenses and operating losses will increase substantially as we:</w:t>
      </w:r>
    </w:p>
    <w:p>
      <w:pPr>
        <w:spacing w:after="0" w:line="91"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third parties to manufacture our product candidate and related raw materials or, should we decide to do so, build and maintain a commercial-scale current good manufacturing practice, or cGMP, manufacturing facility;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clinical and commercial, and operational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quality control, quality assurance, legal, compliance, and other groups to support our operations;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(including intellectual property obtained through license agreements) and provide reimbursement of third-party expenses related to our patent portfolio;</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ficerafusp alfa or any future product candidates for which we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ficerafusp alfa or any future product candidates for which we may obtain marketing approval;</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due under potential license agreements and any potential milestones, royalties or other payments due under any future in-license or collaboration agreements;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net losses may fluctuate significantly from quarter-to-quarter and year-to-year, depending on the timing of our planned clinical trials, manufacturing and research and development activities.</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plans, we believe that the estimated net proceeds from this offering, together with our existing cash and cash equivalents, will be sufficient to fund our operations and capital expenditure requirements into the first half of 2029. Without additional funding, we believe that we will have sufficient funds to meet our obligations within the next twelve months from the date of issuance of our consolidated financial statements.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We do not expect to generate any revenue from product sales unless and until we successfully complete development and obtain regulatory approval for ficerafusp alfa or future product candidates, which will not be for at least the next several years, if ever. If we obtain regulatory approval for ficerafusp alfa or any of our future product candidates, we expect to incur significant commercialization expenses related to product sales, marketing, manufacturing and distribution. Accordingly, until such time as we can generate significant revenue from sales of our product candidate, if ever, we expect to finance our cash needs through equity offerings, debt financings or other capital sources, including potential collaborations, licenses and other similar arrangements. See the section 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 that we would otherwise prefer to develop and market ourselves.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sale, and we have not generated any revenue to date. In the future, we may generate revenue from collaboration or license agreements we may enter into with respect to our product candidate, as well as product sales from any approved product, which approval we do not expect to occur for at least the next several years, if ever. Our ability to generate product revenue will depend on the successful development and eventual commercialization of ficerafusp alfa and any future product candidates we pursue. If we fail to complete clinical development of or to obtain regulatory approval for ficerafusp alfa or any future product candidates, our ability to generate future revenues, and our results of operations and financial position would be adversely affected.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(including Research and Development—Related Party)</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(including related party research and development) have primarily consisted of external and internal costs associated with our research and development activities, including the development of our bifunctional ficerafusp alfa antibody therapies to treat solid tumors, and the clinical development of our product candidate. Our research and development expenses include:</w:t>
      </w:r>
    </w:p>
    <w:p>
      <w:pPr>
        <w:spacing w:after="0" w:line="81" w:lineRule="exact"/>
        <w:rPr>
          <w:sz w:val="20"/>
          <w:szCs w:val="20"/>
          <w:color w:val="auto"/>
        </w:rPr>
      </w:pPr>
    </w:p>
    <w:p>
      <w:pPr>
        <w:ind w:left="1080" w:right="2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including expenses incurred under arrangements with third parties, such as sponsored research agreements, consultants and our scientific advisors;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stock-based compensation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supplies, research materials and reagents;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manufacturing process for use in our future clinical trials.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Most of our research and development expenses have been related to the development of ficerafusp alfa. We use our personnel and infrastructure resources across the breadth of our research and development activities, which are directed toward identifying and developing our product candidate.</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related parties and third-party service providers.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with the development of ficerafusp alfa and any other product candidates we may determine to pursue. Due to the inherently unpredictable nature of pre-clinical and clinical development, we cannot determine with certainty the timing of the initiation, duration or costs of future clinical trials and pre-clinical studies of product candidates. The timelines and costs associated with research and development activities are uncertain and can vary significantly for any product candidate we pursue, and development programs are inherently unpredictable nature of clinical development. We anticipate we will make determinations as to which programs to pursue and how much funding to direct to each current program on an ongoing basis in response to clinical results, regulatory developments, and ongoing assessments as to each program’s commercial potential.</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Therapeutic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over the next several years as we expect to (i) advance ficerafusp alfa into late-stage clinical trials, (ii) develop ficerafusp alfa for other potential indications and (iii) expand our manufacturing efforts.</w:t>
      </w:r>
    </w:p>
    <w:p>
      <w:pPr>
        <w:spacing w:after="0" w:line="7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future development costs may vary significantly based on various factors such as timely and successful completion of clinical trials, positive results from our future clinical trials, receipt of marketing approvals from applicable regulatory authorities, establishment of arrangements with third parties, intellectual property updates, and continued acceptable safety, tolerability and efficacy profile of any product candidates that we may develop following approval. Any changes in the outcome of any of these variables with respect to the development of our therapeutic candidates in preclinical and clinical development could mean a significant change in the costs and timing associated with the development of these therapeutic candidates. For example, if the FDA or another regulatory authority were to delay our planned start of clinical trials or require us to conduct clinical trials or other testing beyond those that we currently expect, or if we experience significant delays in enrollment in any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planned clinical trials, we could be required to expend significant additional financial resources and time to complete clinical development of that therapeutic candidate. We may never obtain regulatory approval for any of our therapeutic candidates, and, even if we do, drug commercialization takes several years and millions of dollars in development costs.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charges for those individuals in executive, legal, finance, human resources, facility operations,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rent and maintenance of facilities and utilities.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for the foreseeable future to support our increased research and development activities. We also anticipate increased expenses related to audit, accounting, legal, regulatory, and tax-related services associated with maintaining compliance with our Nasdaq and Securities and Exchange Commission, or SEC, requirements, director and officer insurance premiums, and investor relations costs associated with operating as a public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cash and cash equivalents. We expect our interest income will increase as we invest the cash received from our sales of Series B and C redeemable convertible preferred stock in 2023 and the net proceeds from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Series B convertible preferred stock tranche rights liability</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consolidated financial statements. We present such liabilities on the balance sheets at their estimated fair values. Changes in fair value of the Series B convertible preferred stock tranche rights liability were recognized in the consolidated statements of operations. See the section titled “</w:t>
      </w:r>
      <w:r>
        <w:rPr>
          <w:rFonts w:ascii="Times New Roman" w:cs="Times New Roman" w:eastAsia="Times New Roman" w:hAnsi="Times New Roman"/>
          <w:sz w:val="18"/>
          <w:szCs w:val="18"/>
          <w:i w:val="1"/>
          <w:iCs w:val="1"/>
          <w:color w:val="auto"/>
        </w:rPr>
        <w:t>Series B Tranche Rights</w:t>
      </w:r>
      <w:r>
        <w:rPr>
          <w:rFonts w:ascii="Times New Roman" w:cs="Times New Roman" w:eastAsia="Times New Roman" w:hAnsi="Times New Roman"/>
          <w:sz w:val="18"/>
          <w:szCs w:val="18"/>
          <w:color w:val="auto"/>
        </w:rPr>
        <w:t>” below for additional details.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provision for income taxes is not material for the six months ended June 30, 2024 and 2023.</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Since our inception, we have not recorded any U.S. federal or state income tax benefits for the net losses we have incurred in each year or our earned research and development tax credits, due to our uncertainty of realizing a benefit from those items.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2024 and 2023</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development—related party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5,091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4,238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22,782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13,908</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16,672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(18,452)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(16,672)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(18,452)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(29,556)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(12,856)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(12,857)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 (including Research and Development—Related Party)</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$14.8 million from $13.1 million for the six months ended June 30, 2023, to $27.9 million for the six months ended June 30, 2024. The following table summarizes our research and development expenses for the six months ended June 30, 2024 and 2023. (in thousands):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process development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12,939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operations and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9,774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personnel cost and other (including stock compensation)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27,873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14,761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six months ended June 30, 2024, compared to the six months ended June 30, 2023 was primarily due to:</w:t>
      </w:r>
    </w:p>
    <w:p>
      <w:pPr>
        <w:spacing w:after="0" w:line="67"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$0.4 million in increased research cost, driven by higher lab consumables costs;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$8.2 million in increased manufacturing cost, driven by an increase in drug substance batch manufacturing in connection with our Phase 1/1b and our pivotal Phase 2/3 clinical trial;</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$3.7 million in increased clinical operation and development cost, driven by costs associated with our pivotal Phase 2/3 clinical trial design and continued patient enrollment in our Phase 1/1b dose expansion cohorts;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million in increased personnel and other related costs including stock-based compensation, driven by an increase in the size of our workforce to support clinical development, manufacturing and research and increased professional service expenses as we continue to build out our clinical operations and development functions.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by program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6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Direct external program expenses: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ficerafusp alfa</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24,045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11,078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$12,967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BCA 300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BCA 400/600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and unallocated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related costs (including stock-based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in research and development expenses by program for the six months ended June 30, 2024, compared to the six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2023 was primarily due to:</w:t>
      </w:r>
    </w:p>
    <w:p>
      <w:pPr>
        <w:spacing w:after="0" w:line="112" w:lineRule="exact"/>
        <w:rPr>
          <w:sz w:val="20"/>
          <w:szCs w:val="20"/>
          <w:color w:val="auto"/>
        </w:rPr>
      </w:pPr>
    </w:p>
    <w:p>
      <w:pPr>
        <w:jc w:val="both"/>
        <w:ind w:left="1080" w:right="2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$13.0 million in increased costs for our ficerafusp alfa program, driven by manufacturing costs and clinical operation and development costs associated with our pivotal Phase 2/3 clinical trial design and continued patient enrollment in our Phase 1/1b dose expansion cohorts; and</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$2.4 million in increased personnel cost, driven by an increase in the size of our workforce to support clinical development, manufacturing and research and increased professional service expenses as we continue to build out our clinical operations and development functions;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increases were partially offset by the following:</w:t>
      </w:r>
    </w:p>
    <w:p>
      <w:pPr>
        <w:spacing w:after="0" w:line="131"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$0.7 million in decreased costs for our BCA 300 program, which was paused in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$3.7 million from $3.6 million for the year ended six months ended June 30, 2023, to $7.3 million for the six months ended June 30, 2024. The following table summarizes our general and administrative expenses for the years ended June 30, 2024 and 2023 (in thousands):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personnel costs (including stock-based compensation)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557</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costs, IT, office expense and other</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563</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six months ended June 30, 2024, compared to the six months ended June 30, 2023 was primarily due to:</w:t>
      </w:r>
    </w:p>
    <w:p>
      <w:pPr>
        <w:spacing w:after="0" w:line="67" w:lineRule="exact"/>
        <w:rPr>
          <w:sz w:val="20"/>
          <w:szCs w:val="20"/>
          <w:color w:val="auto"/>
        </w:rPr>
      </w:pPr>
    </w:p>
    <w:p>
      <w:pPr>
        <w:ind w:left="1080" w:right="2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$2.4 million in increased personnel related costs, including stock-based compensation, primarily driven by an increase in the size of our workforce and due to the increased number and value of the stock option awards granted;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million in increased professional service expenses, including legal, accounting and other expenses as we continue to build out our general and administrative functions to support advancing our clinical studies;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$0.3 million in increased information technology expenses and related miscellaneous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income for the six months ended June 30, 2024 and 2023 was $5.6 million and $0, respectively. The increase was primarily due to significant increase in cash equivalents as a result of proceeds from our Series B and Series C financings.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Series B preferred stock tranche rights liability</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 for the six months ended June 30, 2024 and 2023 was $0 and $28 thousand, respectively. The change in fair value in 2023 was based upon the fair value at June 30, 2023 compared to the initial fair value of the Series B preferred stock tranche rights upon issuance of the Series B preferred shares sold in connection with milestone closings which was completed in 2023 due to the probability of meeting the milestone increased.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2023 and 2022</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development—related party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9,244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12,936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21,373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18,376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37,656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(39,889)</w:t>
            </w: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(37,656)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expense—related party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(13,405)</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(13,405)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6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8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(12,091)</w:t>
            </w: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(11,903)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(51,980)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(37,844)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(14,136)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(51,985)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(37,845)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(14,140)</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93</w:t>
            </w: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 (including Research and Development—Related Party)</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$0.7 million from $31.3 million for the year ended December 31, 2022, to $30.6 million for the year ended December 31, 2023. The following table summarizes our research and development expenses for the years ended December 31, 2023 and 2022 (in thousands):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(5,692)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process development</w:t>
            </w: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11,835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13,323</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(1,488)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operations and development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13,495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personnel cost (including stock based compensation)</w:t>
            </w: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30,617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31,312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for the year ended December 31, 2023 compared to the year ended December 31, 2022 was primarily due to:</w:t>
      </w:r>
    </w:p>
    <w:p>
      <w:pPr>
        <w:spacing w:after="0" w:line="67"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 million in decreased research expenses driven by pausing of preclinical programs and drug discovery expenses;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million in decreased manufacturing cost driven by the timing of manufacturing of drug substance.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decreases were partially offset by the following:</w:t>
      </w:r>
    </w:p>
    <w:p>
      <w:pPr>
        <w:spacing w:after="0" w:line="131" w:lineRule="exact"/>
        <w:rPr>
          <w:sz w:val="20"/>
          <w:szCs w:val="20"/>
          <w:color w:val="auto"/>
        </w:rPr>
      </w:pPr>
    </w:p>
    <w:p>
      <w:pPr>
        <w:ind w:left="1080" w:right="2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$5.4 million in increased clinical operations and development expenses driven by continued patient enrollment of our ongoing Phase 1/1b trial; and</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$1.1 million in increased personnel related costs, including stock-based compensation, primarily driven by an increase in the size of our workforce to support clinical development, manufacturing and research and increased professional service expenses as we continue to build out our clinical operations and development functions.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by program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8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Direct external program expenses: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ficerafusp alfa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25,423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19,923</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BCA 300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2,099</w:t>
            </w: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BCA 400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BCA 600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Internal and unallocated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 related costs (including stock-based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2,817</w:t>
            </w: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6,128</w:t>
            </w:r>
          </w:p>
        </w:tc>
      </w:tr>
      <w:tr>
        <w:trPr>
          <w:trHeight w:val="27"/>
        </w:trPr>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30,617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31,312</w:t>
            </w:r>
          </w:p>
        </w:tc>
      </w:tr>
      <w:tr>
        <w:trPr>
          <w:trHeight w:val="20"/>
        </w:trPr>
        <w:tc>
          <w:tcPr>
            <w:tcW w:w="8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2022, other unallocated research and development expenses primarily related to expenses incurred under the master service agreement with Biofusion Therapeutics Limited, or Biofusion, which provided general research and development services. The master service agreement with Biofusion was terminated upon acquisition of Biofusion by Syngene International Limited on August 2, 2022.</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$2.9 million from $6.3 million for the year ended December 31, 2022, to $9.3 million for the year ended December 31, 2023. The following table summarizes our general and administrative expenses for the years ended December 31, 2023 and 2022 (in thousands):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personnel costs (including stock-based compensation)</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$5,820</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$3,800</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2,061</w:t>
            </w:r>
          </w:p>
        </w:tc>
        <w:tc>
          <w:tcPr>
            <w:tcW w:w="9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1,639</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costs, IT, office expense and other</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1,391</w:t>
            </w:r>
          </w:p>
        </w:tc>
        <w:tc>
          <w:tcPr>
            <w:tcW w:w="9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905</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9,272</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6,344</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December 31, 2023 compared to the year ended December 31, 2022 was primarily due to:</w:t>
      </w:r>
    </w:p>
    <w:p>
      <w:pPr>
        <w:spacing w:after="0" w:line="67" w:lineRule="exact"/>
        <w:rPr>
          <w:sz w:val="20"/>
          <w:szCs w:val="20"/>
          <w:color w:val="auto"/>
        </w:rPr>
      </w:pPr>
    </w:p>
    <w:p>
      <w:pPr>
        <w:ind w:left="1080" w:right="2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million in increased personnel related costs, including stock-based compensation, primarily driven by an increase in the size of our workforce;</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$0.4 million in increased professional service expenses, including legal, accounting and other expenses as we continue to build out our general and administrative functions to support advancing our clinical studies;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$0.5 million in increased information technology expenses and related miscellaneous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expense—related party</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Interest expense—related party for the years ended December 31, 2023, and 2022 was $0 and $0.1 million, respectively. The decrease was due to conversion of an unsecured loan and accrued interest into convertible preferred stock of the Company. See the section 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 Biocon Loan Agreement</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income for the years ended December 31, 2023 and 2022 was $1.3 million and $0, respectively. The increase was primarily due to an increase in cash equivalents.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Series B convertible preferred stock tranche rights liability</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Change in fair value of Series B convertible preferred stock tranche rights liability for the years ended December 31, 2023 and 2022 was $13.4 million and $0, respectively. The loss was primarily due to the increase in fair value of the Series B convertible preferred shares sold in connection with tranched milestone closings.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in December 2018, we have not generated any revenue from any sources and have incurred significant operating losses and negative cash flows from operations. We expect to incur significant expenses and operating losses for the foreseeable future as we advance the clinical development of ficerafusp alfa</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or any future product candidates we elect to pursue. Further, upon the completion of this offering, we expect to incur additional costs associated with operating as a public company. From our inception in December 2018 through June 30, 2024, we have received aggregate net proceeds of $354.1 million from the sale of our redeemable convertible preferred stock in private placements, sale of common stock and debt financing.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June 30, 2024, we had cash and cash equivalents of $203.9 million. Based upon our current operating plans, we believe that the estimated net proceeds from this offering, together with our existing cash and cash equivalents, will be sufficient to fund our operations and capital expenditure requirements into the first half of 2029. However, our forecast of the period of time through which our financial resources will be adequate to support our operations is a forward-looking statement that involves risks and uncertainties, and actual results could vary materially. Additionally, the process of testing our product candidate in clinical trials is costly, and the timing of progress and expenses in these trials is uncertain. We will need to raise substantial additional capital in the future.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131"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clinical trials of ficerafusp alfa and future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ficerafusp alfa and any future product candidates and commercial manufacturing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ficerafusp alfa and any future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licenses and other similar arrangements;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of obtaining, maintaining, and enforcing our patents and other intellectual property rights (including intellectual property obtained through license agreements);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clinical activities increase;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ficerafusp alfa or any future product candidate is approved;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 party payors and adequate market share and revenue for any approved products;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current or future product candidates or grant licenses on terms that may not be favorable to us and/or may reduce the value of our common stock. Our failure to raise capital or enter into such other arrangements when needed could have a negative impact on our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our current or future product candidates even if we would otherwise prefer to develop and market such product candidates ourselves.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the six months ended June 30, 2024 and 2023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21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89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$(27,495)</w:t>
            </w:r>
          </w:p>
        </w:tc>
        <w:tc>
          <w:tcPr>
            <w:tcW w:w="6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(27,060)</w:t>
            </w: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37,892</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(26,585</w:t>
            </w:r>
          </w:p>
        </w:tc>
        <w:tc>
          <w:tcPr>
            <w:tcW w:w="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net cash used in operating activities was $27.5 million resulting from our net loss of $29.6 million and net outflows in our operating assets and liabilities of $0.3 million, partially offset by non-cash charges of $2.4 million, consisting of stock-based compensation expense, depreciation and non-cash lease expense.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2023, net cash used in operating activities was $27.1 million resulting from our net loss of $16.7 million and net outflows in our operating assets and liabilities of $11.0 million, partially offset by non-cash charges of $0.6 million. Non-cash charges consisted of stock-based compensation expense, depreciation and changes in fair value of Series B preferred stock tranche rights liability. Net outflows in our operating assets and liabilities were primarily due to a $9.7 million decrease in accounts payable and accrued expenses—related party.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 was insignificant for the six months ended June 30, 2024 and $0 for the six month ended June 30,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$0.9 million during the six months ended June 30, 2024, consisting of $1.5 million in proceeds from the exercise of stock options, partially offset by $0.6 million payment of offering costs.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$37.9 million during the six months ended June 30, 2023, consisting of $37.8 million in net proceeds from the issuance of preferred stock and preferred stock tranche rights, in connection with Series B financing and $0.1 million in proceeds from the exercise of stock options.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the years ended December 31, 2023 and 2022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216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8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(45,628)</w:t>
            </w:r>
          </w:p>
        </w:tc>
        <w:tc>
          <w:tcPr>
            <w:tcW w:w="6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(32,076)</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272,496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31,695</w:t>
            </w:r>
          </w:p>
        </w:tc>
      </w:tr>
      <w:tr>
        <w:trPr>
          <w:trHeight w:val="223"/>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$ 226,282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$45.6 million resulting from our net loss of $52.0 million and net changes in our operating assets and liabilities of $9.6 million partially offset by non-cash charges of $16.0 million. Net cash used by changes in our operating assets and liabilities were primarily due to an increase in prepaid expenses and other assets of $0.9 million and by decreases in accounts payable and accrued expenses of $8.7 million.</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$32.1 million resulting from our net loss of $37.8 million partially offset by non-cash charges of $0.8 million and changes in our operating assets and liabilities of $4.9 million. Net cash provided by changes in our operating assets and liabilities were primarily due to increases in accounts payable and accrued expenses of $5.9 million partially offset by an increase in prepaid expenses and other assets of $0.9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$0.6 million during the year ended December 31, 2023 as compared to $0.2 million during the year ended December 31, 2022. The increase in net cash used in investing activities was due to an increase in purchases of property and equipment.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$272.5 million during the year ended December 31, 2023 as compared to $31.7 million during the year ended December 31, 2022. The increase in net cash provided by financing activities was primarily due to the net proceeds of $272.3 million raised from the sale of our convertible preferred stock and Series B tranche rights in connection with Series B and Series C convertible preferred stock financings.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2024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4"/>
              </w:rPr>
              <w:t>4-5 Years</w:t>
            </w: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2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556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556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research organizations for clinical trials, with contract manufacturing organizations, or CMOs, for clinical supplies manufacturing and with other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vendors for supplies and other products and services for operating purposes. These agreements generally provide for termination at the request of either party generally with less than one-year notice and, therefore, we believe that our non-cancellable obligations under these agreements are not material. We do not currently expect any of these agreements to be terminated and did not have any non-cancellable obligations under these agreements as of December 31, 2023 and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are prepared in accordance with generally accepted accounting principles in the U.S., or GAAP. The preparation of our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more fully described in Note 2 titled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required to estimate our expenses resulting from obligations under contracts with vendors and consultants,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We reflect research and development expenses in our consolidated financial statements by matching those expenses with the period in which services and efforts are expended. We account for these expenses according to the progress of the clinical studies as measured by the timing of various aspects of the study or related activities. We determine accrual estimates through review of the underlying contracts along with preparation of financial models taking into account discussions with research and other key personnel as to the progress of studies, or other services being conducted. During the course of a study, we adjust our rate of expense recognition if actual results differ from our estimates.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Tranche Rights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consolidated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financial statements. We present such liabilities on the balance sheets at their estimated fair values. Changes in fair value of the liability are calculated each reporting period, and any change in value is recognized in the consolidated statements of operations.</w:t>
      </w:r>
    </w:p>
    <w:p>
      <w:pPr>
        <w:spacing w:after="0" w:line="16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Company’s Series B convertible preferred stock financing included tranche rights, or the Series B Tranche Rights, to purchasers who participated in the initial Series B convertible preferred stock issuance. The Series B Tranche Rights were determined to be a “freestanding financial instrument” as defined in the ASC Master Glossary as they were legally detachable and separately exercisable. Management assessed the freestanding financial instrument under ASC 480, Distinguishing Liabilities from Equity, and determined that such rights should be accounted for as a liability at fair value given they imposed a contingent obligation on the Company to issue additional Series B convertible preferred shares that would be contingently redeemable. The Series B Tranche Rights were revalued at each reporting period until settlement, with changes in the fair value recorded in the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Due to the absence of an active market for our common stock, we utilized methodologies, approaches and assumptions consistent with the American Institute of Certified Public Accountants’ Audit and Accounting Practice Guide: </w:t>
      </w:r>
      <w:r>
        <w:rPr>
          <w:rFonts w:ascii="Times New Roman" w:cs="Times New Roman" w:eastAsia="Times New Roman" w:hAnsi="Times New Roman"/>
          <w:sz w:val="18"/>
          <w:szCs w:val="18"/>
          <w:i w:val="1"/>
          <w:iCs w:val="1"/>
          <w:color w:val="auto"/>
        </w:rPr>
        <w:t>Valuation of Privately-Held Company Equity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Issued as Compensation </w:t>
      </w:r>
      <w:r>
        <w:rPr>
          <w:rFonts w:ascii="Times New Roman" w:cs="Times New Roman" w:eastAsia="Times New Roman" w:hAnsi="Times New Roman"/>
          <w:sz w:val="18"/>
          <w:szCs w:val="18"/>
          <w:color w:val="auto"/>
        </w:rPr>
        <w:t>to estimate the fair value of our common stock. In determining the exercise prices for options granted, we considered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common stock as of the grant date. The fair value of our common stock was determined by our board of directors using a variety of factors, including: valuations of our common stock performed with the assistance of independent third-party valuation specialists; our stage of development and business strategy, including the status of research and development efforts of our product candidate, and the material risks related to our business and industry; our business conditions and projections; our results of operations and financial position, including our levels of available capital resources; the valuation of publicly traded companies in the life sciences and biotechnology sectors, as well as recently completed mergers and acquisitions of peer companies; the lack of marketability of our common stock as a private company; the prices of our preferred stock sold to third party investors, and the rights, preferences and privileges of our preferred stock relative to those of our common stock; the likelihood of achieving a liquidity event for the holders of our common stock, such as an initial public offering or a sale given prevailing market conditions; trends and developments in our industry; the hiring of key personnel and the experience of management; and external market conditions affecting the life sciences and biotechnology industry sectors. Significant changes to the key assumptions underlying the factors used could result in different fair values of our common stock at each valuation date.</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Methodologies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valuations were prepared in accordance with the guidelines in the AICPA 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2023 and 2022 our common stock valuations were prepared using the back-solve method to calculate the total equity value and the option-pricing method, or OPM, to allocate the total equity value. The back-solve method derives the implied equity value for one type of equity security from a contemporaneous transaction involving another type of security. We used the back-solve method to calculate the total equity value of our company as we had recently completed redeemable convertible preferred stock financings that should be considered in estimating the fair value of our equity per the AICPA Practice Aid.</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OPM method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shall be distributed among the various ownership classes at a future date. The share exercise price of all the stock options granted for the period ended June 30, 2024, was based on valuations of our common stock prepared using the back-solve method and OPM.</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No stock options were granted during the period ended June 30, 2024 using the common stock valuation prepared under the probability weighted expected return method, or PWERM, however the 3.2 million options granted after June 30, 2024 were based on the June 2024 valuation of our common stock prepared under PWERM. In June 2024, our common stock valuation was prepared using PWERM by an independent third-party valuation firm. This approach involved the estimation of future potential outcomes for the Company, as well as values and probabilities associated with each respective potential outcome. The common stock per share value determined using this approach was ultimately based upon probability-weighted per share values resulting from the various future scenarios, which included an IPO scenario or continued operation as a private company scenario.</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June 2024 PWERM valuation was based on a probability weighted scenario of the value of the Company in an IPO scenario and a non-IPO scenario. The Company determined the estimated equity value of the anticipated IPO, the estimated present value of the assumed IPO price per share, the estimated time to IPO and a discount for lack of marketability, or DLOM.</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determined the non-IPO scenario equity value, assuming that the Company will stay private using the OPM market-adjusted backsolve approach to conclude our equity value based on our most recent arms-length financing transaction, adjusted for market trends and current R&amp;D expenditures. The non-IPO scenario also involved making assumptions for the expected time to liquidity and risk-free rate.</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IPO scenario was assigned a probability weight of 50%, which considered guideline IPO transactions identified within the last one to three years and the Company’s progress toward an IPO, as adjusted by a DLOM of 15%. The non-IPO scenario was assigned a probability weight of 50% and reflected the market adjustment to the Company’s equity value since June 1, 2024 based on consideration given to the performance of guideline public companies and the biotech indices as well as the Company’s entity specific factors. A DLOM of 35% was then applied to arrive at an indication of value for the Common Stock under the non-IPO scenario.</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to considering the results of independent third-party valuations, the Company considered various objective and subjective factors to determine the fair value of common stock as of each grant date,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preferred stock and the superior rights and preferences of the preferred stock relative to our common stock at the time of each grant;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of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development and our business strategy, and material risks related to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biotechnology industry and trends within the biotechnology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therapeutics industry;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determination of the fair value of our common stock, such as those regarding our discount rates, the selection of comparable companies, and the probability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possible future events. Such estimates involve inherent uncertainties and the application of significant judgment. As a result, if factors or expected outcomes change and we use significantly different assumptions or estimates, our stock-based compensation could be materially different. Changes in judgements could have a material impact on our results of operation. Following the completion of the IPO, the fair value of our common stock will be based on the closing quoted market price of our common stock on the date of grant.</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grant date the number of shares subject to awards granted between January 1, 2023 and August 19, 2024, the per share exercise price of the awards and the fair value of common stock underlying the awards on each grant date: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 Fair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2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6"/>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470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Stock 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Award on</w:t>
            </w:r>
          </w:p>
        </w:tc>
        <w:tc>
          <w:tcPr>
            <w:tcW w:w="0" w:type="dxa"/>
            <w:vAlign w:val="bottom"/>
          </w:tcPr>
          <w:p>
            <w:pPr>
              <w:spacing w:after="0"/>
              <w:rPr>
                <w:sz w:val="1"/>
                <w:szCs w:val="1"/>
                <w:color w:val="auto"/>
              </w:rPr>
            </w:pPr>
          </w:p>
        </w:tc>
      </w:tr>
      <w:tr>
        <w:trPr>
          <w:trHeight w:val="182"/>
        </w:trPr>
        <w:tc>
          <w:tcPr>
            <w:tcW w:w="70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5"/>
                <w:szCs w:val="15"/>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1/01/2023</w:t>
            </w:r>
          </w:p>
        </w:tc>
        <w:tc>
          <w:tcPr>
            <w:tcW w:w="64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5"/>
              </w:rPr>
              <w:t>Option</w:t>
            </w: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10,818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4.44</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04/05/2023</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524,152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08/08/2023</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1,457,464</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09/22/2023</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216,368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12/14/2023</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1,977,457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03/26/2024</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210,959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04/23/2024</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27,046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08/13/2024</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3,164,385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08/19/2024</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75,728</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8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estimated fair value of options reflects the fair value of options granted on each grant date determined using the Black-Scholes option-pricing model.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over the requisite service period of the awards (usually the vesting period) on a straight-line basis. We estimate the fair value of stock option awards using the Black-Scholes option pricing model and recognize forfeitures as they occur.</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the use of subjective assumptions, including the risk-free interest rate, the expected stock price volatility, the expected term of stock options, the expected dividend yield, and the fair value of the underlying common stock on the date of grant. Changes in the assumptions can materially affect the fair value and ultimately how much stock-based compensation expense is recognized. These inputs are subjective and generally require judgment to develop. See Note 8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unaudited condensed consolidated financial statements included elsewhere in this prospectus for information concerning certain of the specific assumptions we used in applying the Black-Scholes option pricing model to determine the estimated fair value of our stock options granted for the six months ended June 30, 2024, and 2023, respectively. Stock-based compensation totaled $2.2 million and $0.6 million for the six months ended June 30, 2024, and 2023, respectively.</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June 30, 2024, the unrecognized stock-based compensation expense related to stock options was $13.5 million related to unvested options expected to be recognized as expense over a weighted-average period of approximately 3.2 years. The intrinsic value of all outstanding stock options as of June 30, 2024, was approximately $57.1 million, based on the assumed public offering price of $17.00 per share, which is the midpoint of the estimated offering price range set forth on the cover page of this prospectus, of which approximately $7.7 million related to vested options and approximately $49.4 million related to unvested options.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Subsequent to June 30, 2024, the Company granted 3.2 million stock options to its employees and new members of the board of directors, of which 2.9 million contained service and performance conditions contingent on the successful completion of the Company’s IPO by December 31, 2024, after which the options would be forfeited, and 0.3 million stock options contained only service conditions. All 3.2 million stock options were valued using the per share value of common stock determined by the PWERM method noted above and the Black-Scholes option pricing model.</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the performance condition of a successful IPO by December 31, 2024 must be met for 2.9 million of the stock options to vest, compensation cost will not be recognized until it is probable that such performance condition will be achieved and must be reevaluated each reporting period. The unrecognized stock-based compensation expense related to the 2.9 million stock options is approximately $20.8 million and it is expected to be recognized as an expense over four year vesting period after it is probable that the performance condition will be achieved.</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0.3 million stock options that contain only service conditions, the unrecognized stock-based compensation expense is approximately $2.2 million, which is expected to be recognized as an expense over four years beginning in the third quarter of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Times New Roman" w:cs="Times New Roman" w:eastAsia="Times New Roman" w:hAnsi="Times New Roman"/>
          <w:sz w:val="17"/>
          <w:szCs w:val="17"/>
          <w:color w:val="auto"/>
        </w:rPr>
        <w:t>As of June 30, 2024, we had $203.9 million in cash and cash equivalents, which consisted of cash and money market funds. Our cash and cash equivalents are primarily maintained in accounts with multiple financial institutions in the U.S. At times, we may maintain cash and cash equivalent balances in excess of Federal Deposit Insurance Corporation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Due to the short-term duration of our investment portfolio and the low risk profile of our investments, we believe an immediate 10% change in interest rates would not have a material effect on the fair market value of our investment portfolio. We would not expect our operating results or cash flows to be affected to any significant degree by the effect of a change in market interest rates on our investment portfolio.</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exposed to foreign exchange rate risk. Our headquarters is located in the U.S., where the majority of our general and administrative expenses and research and development costs are incurred in U.S. dollars. While we are subject to fluctuations in foreign currency rates in connection with these arrangements, to date, these fluctuations have not been significant. Based on our expected volumes with these vendors and employees in fiscal year 2024, a movement of 10% in the exchange rates would not have a material effect on our results of operations or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financial statements, with correspondingly reduced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and (v) an exemption from compliance with the requirements of the Public Company Accounting Oversight Board regarding the communication of critical audit matters in the auditor’s report on the financial statements.</w:t>
      </w:r>
    </w:p>
    <w:p>
      <w:pPr>
        <w:spacing w:after="0" w:line="184"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w:t>
      </w:r>
    </w:p>
    <w:p>
      <w:pPr>
        <w:spacing w:after="0" w:line="1" w:lineRule="exact"/>
        <w:rPr>
          <w:sz w:val="20"/>
          <w:szCs w:val="20"/>
          <w:color w:val="auto"/>
        </w:rPr>
      </w:pPr>
    </w:p>
    <w:p>
      <w:pPr>
        <w:jc w:val="both"/>
        <w:ind w:left="120" w:right="20" w:hanging="4"/>
        <w:spacing w:after="0" w:line="252" w:lineRule="auto"/>
        <w:tabs>
          <w:tab w:leader="none" w:pos="4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shares of common stock held by non-affiliates is less than $250.0 million measured on the last business day of our second fiscal quarter, or our annual revenue is less than $100.0 million during the most recently completed fiscal year and the market value of our shares of common stock held by non-affiliates is less than $700.0 million measured on the last business day of our second fiscal quarter.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titled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elsewhere in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bringing transformative bifunctional therapies to patients with solid tumors. Our lead program ficerafusp alfa is a bifunctional antibody that combines two clinically validated targets, an epidermal growth factor receptor, or EGFR, directed monoclonal antibody with a domain that binds to human transforming growth factor beta, or TGF-b. Through this dual-targeting mechanism, ficerafusp alfa has the potential to exert potent anti-tumor activity by simultaneously blocking both cancer cell-intrinsic EGFR survival and proliferation, as well as the immunosuppressive TGF-b signaling within the tumor microenvironment, or TME. Ficerafusp alfa directs the TGF-b inhibitor into the immediate TME through the binding of EGFR on tumor cells, which we believe will lead to durable responses and an increase in overall survival, or OS, while reducing the adverse effects typically associated with systemic TGF-b inhibition. Ficerafusp alfa is initially being developed in head and neck squamous cell carcinoma, or HNSCC, where there remains a significant unmet need. We intend to initiate a pivotal Phase 2/3 trial of ficerafusp alfa in combination with pembrolizumab as a first-line therapy in recurrent/metastatic, or R/M, HNSCC excluding patients associated with human papillomavirus infection, or HPV-positive patients, with oropharyngeal squamous cell carcinoma, or OPSCC, late in the fourth quarter of 2024 or early in the first quarter of 2025.</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conducting an ongoing Phase 1/1b trial of ficerafusp alfa in the U.S. which, includes a cohort of HNSCC patients who were treatment-naïve in the R/M setting. In this cohort, treatment with ficerafusp alfa in combination with pembrolizumab resulted in a 54% (21/39) overall response rate, or ORR, in the efficacy evaluable population, and a 64% (18/28) ORR in patients not associated with human papillomavirus infection, or HPV-negative patients. The historical response rate observed in a Phase 3 trial with pembrolizumab monotherapy, the current standard of care in R/M HNSCC, was 19%. Furthermore, treatment with ficerafusp alfa in combination with pembrolizumab demonstrated an 18% (5/28) complete response rate, or CR rate, and a median progression-free survival, or mPFS, of 9.8 months in HPV-negative patients. With at least 12 months of follow-up, median OS and mDOR have not yet been reached, and we expect to announce updated interim Phase 1/1b data at future medical meetings in 2025. Based on the clinical data generated to date, we believe that ficerafusp alfa in combination with pembrolizumab has the potential to become a first-line standard of care therapy in HPV-negative R/M HNSCC.</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believe ficerafusp alfa has the potential to provide meaningful clinical benefit in other solid tumors where there is a strong biologic rationale for the dual inhibition of both EGFR and TGF-b, such as colorectal cancer and other squamous cell carcinomas which typically overexpress EGFR and TGF-b pathways. We have demonstrated preliminary activity of ficerafusp alfa in combination with pembrolizumab or as a monotherapy across several squamous cell carcinomas, including cutaneous squamous cell carcinoma, or CSCC. Within our Phase 1/1b dose expansion cohorts conducted in the U.S. and Canada, we have observed to date a preliminary 42% (5/12) ORR with ficerafusp alfa monotherapy in relapsed and/or refractory CSCC patients.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built a platform designed to facilitate the development of bifunctional therapies that precisely target the tumor and deliver a tumor-modulating payload to the tumor site. This dual-targeting approach both enhances drug exposure within the TME and limits systemic toxicity. This approach was deployed in the development of ficerafusp alfa, where we believe the bifunctional design can improve upon the therapeutic profile of immunotherapies and targeted therapies by addressing resistance mechanisms and limiting off-target toxicity, therefore, enhancing the treatment effect and tolerability for targeted patient populations with cancer.</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EGFR is the primary member of a larger family of cell-surface growth factor receptors harboring intrinsic tyrosine kinase function. EGFR is involved in many tumor-promoting pathways. Its overexpression has been linked to multiple squamous cell cancers, including HNSCC, where EGFR expression has been shown to be greater than 90%. EGFR has been a long-standing focus for cancer drug development due to the correlation between EGFR expression, poor prognosis and resistance to therapy. Cetuximab is an EGFR-directed monoclonal antibody approved for HNSCC and colorectal cancer that drives anti-tumor responses by inhibiting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EGFR signaling and through antibody-dependent cell-mediated cytotoxicity, or ADCC. However, acquired resistance mechanisms to cetuximab can prevent durable responses. We believe that there is a significant market opportunity for EGFR targeted therapies with improved efficacy, durability and OS compared to cetuximab.</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TGF-b is a cytokine that controls a range of biological functions and is widely understood to play a critical role in cancer. TGF-b perpetuates tumor survival by promoting tumor cell proliferation, migration, invasion and metastasis. TGF-b also serves as an immunosuppressant, inhibiting both natural killer, or NK, cells and cytotoxic T cells. The inhibition of TGF-b has been demonstrated to improve anti-tumor responses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However, these findings have not been translated into substantial improvements in clinical efficacy, which we believe may be due to the inability to sufficiently inhibit TGF-b directly within the TME. Increased TGF-b expression within the TME contributes to an immune-excluded environment.</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Ficerafusp alfa is a bifunctional antibody that combines the well-established biologies of both the clinically validated anti-EGFR antibody cetuximab and a TGF-b binding domain to deliver a potent anti-tumor therapy, sequestering TGF-b directly to EGFR-expressing tumors with the goal of limiting off-target toxicity. We have shown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that ficerafusp alfa performs as expected, by binding to both targets, localizing to the tumor, inhibiting tumor growth and suppressing TGF-b levels within tumors.</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HNSCC is one of the most common cancers in the U.S. and globally with a rising incidence anticipated to reach one million new global cases annually by 2030. There are approximately 67,000 cases of HNSCC each year in the U.S with a 13% 5-year survival rate. Ten percent of HNSCC patients are diagnosed with metastatic disease and up to 30% develop a recurrence or metastases over time after initial treatment for advanced HNSCC. There are approximately 23,000 cases of R/M HNSCC each year in the U.S. Median OS for patients with R/M HNSCC is only 12 months. Most cases of HNSCC are believed to arise from mutations that accumulate due to carcinogenic exposure, such as tobacco smoke, or by HPV. Approximately 80% of patients with R/M HNSCC are HPV-negative, a status associated with a worse prognosis. Pembrolizumab monotherapy is the standard of care for R/M HNSCC patients who have evidence of PD-L1 expressing tumors is pembrolizumab monotherapy. The KEYNOTE-048 Phase 3 trial of pembrolizumab conducted by Merck &amp; Co. Inc., or Merck &amp; Co, demonstrated an ORR of 19% with a mPFS of 3.2 months in a population of HPV-negative and HPV-positive patients with CPS greater than or equal to one. For patients with a CPS less than one and no PD-L1 expression within their TME, the typical standard of care is the EXTREME regimen, a combination of cetuximab and chemotherapy, which has low response rates and survival, as well as a difficult tolerability profile.</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the poor prognoses in HPV-negative R/M HNSCC and the low ORR associated with available therapies may be attributed to the elevated levels of TGF-b observed in these patients. It has been shown in translational studies that EGFR inhibition leads to further increases in TGF-b levels which result in the development of resistance to EGFR-targeted therapeutics. We believe blocking TGF-b has the potential to prevent resistance and improve the anti-tumor activity of anti-EGFR therapies, leading to more durable responses and an increase in OS. Similarly, inhibiting TGF-b may reduce the fibrosis and immune-exclusion within the TME that could be responsible for the low efficacy seen with checkpoint inhibitors in these immunosuppressive, or “cold” tumors. We believe promoting immune activation via TGF-b blockade may translate to significant increases in anti-tumor efficacy, particularly in the depth and durability of responses in combination with anti-PD1 therapies.</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working to bring ficerafusp alfa, a potentially transformative therapy, to patients as quickly as possible. We have designed a double-blind, placebo-controlled Phase 2/3 trial in R/M HNSCC patients, excluding patients with HPV-positive OPSCC, which we believe is sufficiently powered to achieve results that may lead to accelerated approval. This trial will enroll approximately 750 patients with a PD-L1 CPS greater than or equal to one, and who have not received systemic therapy in the R/M setting. We intend to conduct an interim analysis to determine if the ORR is sufficient to seek accelerated approval and will continue the trial with the goal of demonstrating a statistically significant improvement in OS. We anticipate initiating this trial late in the fourth quarter of 2024 or early in the first quarter of 2025 and project that the ORR interim analysis may occur in 2027.</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company was founded with the goal of bringing transformative bifunctional therapies to patients with solid tumors. To advance that goal, we are focusing our efforts on the development of our lead program, ficerafusp alfa, for the treatment of R/M HNSCC, where there remains a significant unmet need. We believe the following competitive strengths will allow us to successfully develop, commercialize and maximize the impact of ficerafusp alfa:</w:t>
      </w:r>
    </w:p>
    <w:p>
      <w:pPr>
        <w:spacing w:after="0" w:line="81"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Validated dual-targeting mechanism of action with potential to exert potent and durable anti-tumor activity.</w:t>
      </w:r>
    </w:p>
    <w:p>
      <w:pPr>
        <w:spacing w:after="0" w:line="121" w:lineRule="exact"/>
        <w:rPr>
          <w:rFonts w:ascii="Times New Roman" w:cs="Times New Roman" w:eastAsia="Times New Roman" w:hAnsi="Times New Roman"/>
          <w:sz w:val="18"/>
          <w:szCs w:val="18"/>
          <w:b w:val="1"/>
          <w:bCs w:val="1"/>
          <w:color w:val="auto"/>
        </w:rPr>
      </w:pPr>
    </w:p>
    <w:p>
      <w:pPr>
        <w:jc w:val="both"/>
        <w:ind w:left="110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Ficerafusp alfa is a bifunctional antibody designed to simultaneously block both cancer cell-intrinsic EGFR survival and proliferation, as well as the well-understood immunosuppressive TGF-b signaling within the TME. Ficerafusp alfa leverages the established biology of the clinically validated anti-EGFR antibody cetuximab. However, ficerafusp alfa is differentiated from existing therapies through the targeting of TGF-b, which localizes the ligand to EGFR expressing tumor cells, potentially increasing its activity at the tumor site and limiting systemic toxicity. Importantly, TGF-b inhibition synergizes with EGFR, which we believe will prevent resistance to treatment and lead to more durable responses.</w:t>
      </w:r>
    </w:p>
    <w:p>
      <w:pPr>
        <w:spacing w:after="0" w:line="88"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 data generated to date representing meaningful improvements over standard of care.</w:t>
      </w:r>
    </w:p>
    <w:p>
      <w:pPr>
        <w:spacing w:after="0" w:line="121" w:lineRule="exact"/>
        <w:rPr>
          <w:rFonts w:ascii="Times New Roman" w:cs="Times New Roman" w:eastAsia="Times New Roman" w:hAnsi="Times New Roman"/>
          <w:sz w:val="18"/>
          <w:szCs w:val="18"/>
          <w:b w:val="1"/>
          <w:bCs w:val="1"/>
          <w:color w:val="auto"/>
        </w:rPr>
      </w:pPr>
    </w:p>
    <w:p>
      <w:pPr>
        <w:jc w:val="both"/>
        <w:ind w:left="110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generated compelling interim clinical data for ficerafusp alfa in a Phase 1/1b trial of R/M HNSCC patients. In this trial, treatment with ficerafusp alfa in combination with pembrolizumab led to a 64% ORR (18/28) in HPV-negative patients. The combination also demonstrated an 18% (5/28) CR rate and mPFS of 9.8 months in the same patient population. With at least 12 months of follow-up, median OS and mDOR have not yet been reached, and we expect to announce updated interim Phase 1/1b data at future medical meetings in 2025. We believe that ficerafusp alfa in combination with pembrolizumab has the potential to become a first-line standard of care therapy in HPV-negative R/M HNSCC.</w:t>
      </w:r>
    </w:p>
    <w:p>
      <w:pPr>
        <w:spacing w:after="0" w:line="88"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to address significant unmet need in HPV-negative R/M HNSCC with clear development pathway.</w:t>
      </w:r>
    </w:p>
    <w:p>
      <w:pPr>
        <w:spacing w:after="0" w:line="121" w:lineRule="exact"/>
        <w:rPr>
          <w:rFonts w:ascii="Times New Roman" w:cs="Times New Roman" w:eastAsia="Times New Roman" w:hAnsi="Times New Roman"/>
          <w:sz w:val="18"/>
          <w:szCs w:val="18"/>
          <w:b w:val="1"/>
          <w:bCs w:val="1"/>
          <w:color w:val="auto"/>
        </w:rPr>
      </w:pPr>
    </w:p>
    <w:p>
      <w:pPr>
        <w:jc w:val="both"/>
        <w:ind w:left="110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HNSCC is one of the most common cancers, accounting for approximately 4% of all cancers in the U.S. An estimated 80% of R/M HNSCC cases are HPV-negative, a status associated with significantly worse outcomes compared to HPV-positive patients. We are prioritizing our initial development efforts in HPV-negative R/M HNSCC given the significant unmet need for durable therapies in this patient population. We also believe that ficerafusp alfa will be most effective in this patient subset given the (1) high expression of EGFR,</w:t>
      </w:r>
    </w:p>
    <w:p>
      <w:pPr>
        <w:spacing w:after="0" w:line="2" w:lineRule="exact"/>
        <w:rPr>
          <w:rFonts w:ascii="Times New Roman" w:cs="Times New Roman" w:eastAsia="Times New Roman" w:hAnsi="Times New Roman"/>
          <w:sz w:val="18"/>
          <w:szCs w:val="18"/>
          <w:b w:val="1"/>
          <w:bCs w:val="1"/>
          <w:color w:val="auto"/>
        </w:rPr>
      </w:pPr>
    </w:p>
    <w:p>
      <w:pPr>
        <w:jc w:val="both"/>
        <w:ind w:left="1100" w:right="20" w:firstLine="7"/>
        <w:spacing w:after="0" w:line="253" w:lineRule="auto"/>
        <w:tabs>
          <w:tab w:leader="none" w:pos="136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elevated levels of TGF-b and (3) current preclinical and clinical data, including from our own Phase 1/1b study, supporting increased activity within HPV-negative patients. We believe our deliberate patient selection strategy provides the best opportunity to demonstrate the potential of ficerafusp alfa as a first-line therapy. We plan to initiate a pivotal Phase 2/3 trial of ficerafusp alfa in combination with pembrolizumab as a first-line therapy in HPV-negative R/M HNSCC late in the fourth quarter of 2024 or early in the first quarter of 2025.</w:t>
      </w:r>
    </w:p>
    <w:p>
      <w:pPr>
        <w:spacing w:after="0" w:line="90"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to expand the clinical development of ficerafusp alfa in additional patient populations within HNSCC and other solid tumors of squamous cell origin.</w:t>
      </w:r>
    </w:p>
    <w:p>
      <w:pPr>
        <w:spacing w:after="0" w:line="50" w:lineRule="exact"/>
        <w:rPr>
          <w:rFonts w:ascii="Times New Roman" w:cs="Times New Roman" w:eastAsia="Times New Roman" w:hAnsi="Times New Roman"/>
          <w:sz w:val="18"/>
          <w:szCs w:val="18"/>
          <w:b w:val="1"/>
          <w:bCs w:val="1"/>
          <w:color w:val="auto"/>
        </w:rPr>
      </w:pPr>
    </w:p>
    <w:p>
      <w:pPr>
        <w:jc w:val="both"/>
        <w:ind w:left="110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Beyond our initial development plans, we believe there are significant opportunities to expand the clinical development of ficerafusp alfa to other populations of HNSCC patients with greater than 60,000 cases each year in the U.S., including for the treatment of locally advanced HPV-negative HNSCC and in the neoadjuvant or adjuvant setting. We also believe ficerafusp alfa has the potential to provide meaningful clinical benefit in other EGFR-expressing solid tumors of squamous cell origin, such as colorectal cancer and other squamous cell carcinomas where there is a strong biologic rationale for the dual-inhibition of EGFR and TGF-b pathways. We plan to explore these additional development opportunities to maximize the potential of ficerafusp alfa for the treatment of cancer.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Strong and experienced team with deep expertise in clinical development.</w:t>
      </w:r>
    </w:p>
    <w:p>
      <w:pPr>
        <w:spacing w:after="0" w:line="121" w:lineRule="exact"/>
        <w:rPr>
          <w:rFonts w:ascii="Times New Roman" w:cs="Times New Roman" w:eastAsia="Times New Roman" w:hAnsi="Times New Roman"/>
          <w:sz w:val="18"/>
          <w:szCs w:val="18"/>
          <w:b w:val="1"/>
          <w:bCs w:val="1"/>
          <w:color w:val="auto"/>
        </w:rPr>
      </w:pPr>
    </w:p>
    <w:p>
      <w:pPr>
        <w:jc w:val="both"/>
        <w:ind w:left="1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assembled a seasoned leadership team with extensive and highly relevant experience in the field of oncology drug development. Our organization is comprised of scientific, clinical and business leaders with broad biotechnology expertise. We have a strong track record of study design and execution, exemplified by the rapid enrollment of our Phase 1/1b study. Our mission-driven team will continue to dedicate our collective efforts and resources to our shared goal of delivering transformative therapies to cancer patients.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assembled a seasoned leadership team of scientific, clinical and business leaders with broad expertise in biotechnology. Claire Mazumdar, Ph.D., M.B.A. our Chief Executive Officer, was previously part of the founding team and led business development and corporate strategy at Rheos Medicines, Inc. Dr. Mazumdar served as a Senior Associate at Third Rock Ventures, LLC, where she focused on company formation and supported business development for their portfolio companies. Ryan Cohlhepp, Pharm.D., our President and Chief Operating Officer, was a founding executive at Rheos Medicines, Inc. and prior to that, was Vice President of Marketing, Operations and Analytics at Takeda Oncology where he was responsible for the company’s commercial oncology portfolio in the U.S. David Raben, M.D., our Chief Medical Officer, is currently a board-certified radiation oncologist with more than 25 years of biopharma and academic translational oncology experience. His prior roles include Vice President of Global Product Development and Product General Manager of Oncology at Amgen, Inc. and Vice President and Franchise Leader of Clinical Oncology at Genentech, Inc. focused on non-small cell lung cancer, or NSCLC, skin cancer and HNSCC. Ivan Hyep, our Chief Financial Officer, previously served as Head of Finance at MOMA Therapeutics, Inc. and Director of Finance at Third Rock Ventures, LLC after 10 years at Bain Capital, LP. Lara Meisner, J.D., our Chief Legal Officer, previously served as Chief Legal Officer at Viridian Therapeutics, Inc. and in various senior legal roles at Astria Therapeutics, Inc. and Verastem Oncology, Inc.</w:t>
      </w:r>
    </w:p>
    <w:p>
      <w:pPr>
        <w:spacing w:after="0" w:line="19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team is supported by a group of investors who have shared our vision and commitment to developing transformative bifunctional therapies for patients with solid tumors. Since our inception, we have raised $353 million, including a $165 million Series C financing in December 2023. Our leading syndicate of investors includes RA Capital Management, Red Tree Venture Capital, Omega Funds, Invus and TPG, as well as Biocon Limited, a global biopharmaceutical company and leader in the development of biologics. Prospective investors should not rely on the investment decisions of our existing investors, as these investors may have different risk tolerances and have received their shares in prior offerings at prices lower than the price offered to the public in this offering.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for more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Established Role of EGFR and TGF-</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in Squamous Cell Carcinomas and other Solid Tumors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Targeting EGFR in squamous cell carcinomas and other solid tumors</w:t>
      </w:r>
    </w:p>
    <w:p>
      <w:pPr>
        <w:spacing w:after="0" w:line="119"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EGFR is a cell-surface tyrosine kinase growth factor receptor that is involved in many tumor-promoting pathways. Activation of EGFR pathways leads to cell cycle progression, reduction in cell death, blood vessel formation and a metastatic phenotype. EGFR overexpression has been linked to several cancers of squamous cell origin, including HNSCC, CSCC and colorectal cancer. Several of these cancer types show EGFR expression in tumors to be greater than 50%, with greater than 90% expression in HNSCC. EGFR overexpression in tumors has been shown to correlate with poor prognosis and resistance to therapy. For this reason, the development of therapies targeting EGFR has been a long-standing focus in cancer drug development.</w:t>
      </w:r>
    </w:p>
    <w:p>
      <w:pPr>
        <w:spacing w:after="0" w:line="16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EGFR-directed monoclonal antibodies, such as cetuximab, drive anti-tumor responses both through inhibiting EGFR signaling and through ADCC. ADCC-mediated cell killing occurs when NK cells recognize and bind to antibodies containing an IgG1 Fc domain, which are bound to their respective tumor cell surface antigens.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Cetuximab is approved in HNSCC and colorectal cancer, two tumor types where EGFR overexpression is at its highest and has also shown the highest anti-tumor efficacy. The durability of EGFR-targeted therapies has been limited by acquired resistance mechanisms.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Due to its role as a well-validated tumor antigen, EGFR-directed monoclonal antibodies are utilized to deliver anti-tumor payloads directly to the tumor. Currently, there are several EGFR antibody-drug conjugates and bispecific antibodies in development that aim to mitigate the systemic toxicities of chemotherapy-derived drug conjugates by delivering these payloads directly to EGFR-expressing tumors.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The role of TGF-b in cancer progression</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TGF-b is a cytokine molecule that functions as a master regulator of immunity and cellular signaling that controls a wide range of biological functions. TGF-b plays multiple essential roles in the body’s early development and survival as well as in maintaining health in mature organisms.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oncogenesis, or the process by which normal, healthy cells turn into cancerous cells, TGF-b both promotes tumor growth and shields tumors from immune surveillance and removal. TGF-b1 is the most commonly expressed isoform of TGF-b1 in various human tumor types and is predominantly expressed in cancers of squamous-cell origin, such as HNSCC. Third party studies have demonstrated that TGF-b1 expression and activation likely contribute to immune escape, which is linked to the primary resistance observed in human tumors against certain cancer therapies. As depicted in Figure 1 below, its immunosuppressive functions are accomplished through a variety of tumor survival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145415</wp:posOffset>
            </wp:positionV>
            <wp:extent cx="3600450" cy="3600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004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 TGF-b promotes tumor survival through multiple mechanisms</w:t>
      </w:r>
    </w:p>
    <w:p>
      <w:pPr>
        <w:spacing w:after="0" w:line="22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TGF-b also serves as a tumor promoter by transforming cells from a more differentiated state to a less differentiated, more primitive state that is no longer dependent on EGFR signaling for proliferation and survival. This shift is known as the epithelial-mesenchymal transition, or EMT, which leads to tumor cell proliferation, migration, invasion and metastasis. Due to its role in cancer progression, we believe the inhibition of TGF-b has the potential to both limit the tumors’ ability to escape EGFR inhibition by switching to an EGFR signaling independent phenotype, as well as restore the immune system’s ability to repress tumor growth.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TGF-b as a known EGFR-therapy resistance mechanism</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When EGFR signaling is blocked by targeted therapy, such as cetuximab, tumors respond by increasing TGF-b expression within the TME. This results in an increase in tumor cell proliferation and a decrease in the tumor’s dependence on EGFR activation, thus making the tumor less sensitive to EGFR inhibition.</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inhibiting direct cell killing by EGFR inhibition, TGF-b protects cells from ADCC both by the activation of survival pathways in tumor cells and through the modulation of the NK cell response. Furthermore, TGF-b both blocks the differentiation of NK cells and reduces NK cell cytotoxicity.</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Preclinical studies suggest that targeting TGF-b may lead to improvements in overall efficacy. As depicted in Figure 2 below, experiments published in </w:t>
      </w:r>
      <w:r>
        <w:rPr>
          <w:rFonts w:ascii="Times New Roman" w:cs="Times New Roman" w:eastAsia="Times New Roman" w:hAnsi="Times New Roman"/>
          <w:sz w:val="18"/>
          <w:szCs w:val="18"/>
          <w:i w:val="1"/>
          <w:iCs w:val="1"/>
          <w:color w:val="auto"/>
        </w:rPr>
        <w:t>Molecular Cancer Therapeutics</w:t>
      </w:r>
      <w:r>
        <w:rPr>
          <w:rFonts w:ascii="Times New Roman" w:cs="Times New Roman" w:eastAsia="Times New Roman" w:hAnsi="Times New Roman"/>
          <w:sz w:val="18"/>
          <w:szCs w:val="18"/>
          <w:color w:val="auto"/>
        </w:rPr>
        <w:t xml:space="preserve"> in a squamous cell carcinoma cell line xenograft model demonstrate that simultaneous treatment with EGFR and TGF-b blocking antibodies led to complete tumor regression.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252095</wp:posOffset>
            </wp:positionV>
            <wp:extent cx="5469255" cy="39001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6925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i w:val="1"/>
          <w:iCs w:val="1"/>
          <w:color w:val="auto"/>
        </w:rPr>
        <w:t>Figure 2. The combination of an anti-EGFR and an anti-TGF-b antibody led to complete regression of a squamous cell carcinoma cell line xenograft tumors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TGF-b as a known checkpoint inhibitor resistance mechanism</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activities of TGF-b extend to the inhibition of cancer immunotherapies known as checkpoint inhibitors. TGF-b inhibits the activation of T cells by PD-1 checkpoint inhibitors and can lead to resistance to anti-PD-1/PD-L1 therapy by promoting immunosuppression and immune exclusion within the TME.</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TGF-b promotes immune tolerance of tumors by inducing differentiation of naïve CD4 T cells into regulatory T cells, or Treg cells. Treg cells are components of the immune system that contribute to the maintenance of immune tolerance. TGF-b can shift the differentiation of naïve CD4 T cells towards Treg cells, thereby leading to immunosuppression. In addition, TGF-b inhibits tumor cell killing by immune cell populations, including CD4 and CD8 T cells and NK cells.</w:t>
      </w:r>
    </w:p>
    <w:p>
      <w:pPr>
        <w:sectPr>
          <w:pgSz w:w="11900" w:h="16838" w:orient="portrait"/>
          <w:cols w:equalWidth="0" w:num="1">
            <w:col w:w="11140"/>
          </w:cols>
          <w:pgMar w:left="320" w:top="455" w:right="439" w:bottom="1440" w:gutter="0" w:footer="0" w:header="0"/>
        </w:sectPr>
      </w:pP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140"/>
          </w:cols>
          <w:pgMar w:left="320" w:top="455" w:right="4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Increased TGF-b expression within the TME contributes to an immune-excluded environment. Specifically, cancer-associated fibroblasts, or CAFs, expressing TGF-b contribute to fibrosis within the TME and result in T-cell exclusion, further limiting the activity of immunotherapy.</w:t>
      </w:r>
    </w:p>
    <w:p>
      <w:pPr>
        <w:spacing w:after="0" w:line="160"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As depicted in Figure 3 below,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academic studies in an HNSCC xenograft model demonstrated that the effectiveness of anti-PD-1 checkpoint inhibitors was greatly enhanced when administered in combination with anti-TGF-b therapy. Combining an anti-PD-1 antibody with an anti-TGF-b antibody led to significant increases in both CR (top figure) and OS (bottom figure) in this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140335</wp:posOffset>
            </wp:positionV>
            <wp:extent cx="3703320" cy="5349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03320"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3. The combination of anti-PD-1 and anti-TGF-b led to improved CR and OS in a SCC xenograft model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Systemic inhibition of TGF-b has had significant limitations in the clinic</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multiple tumor-promoting roles associated with TGF-b have led to multiple attempts to develop systemic anti-TGF-b therapies for the treatment of cancer. These strategies include molecules that inhibit TGF-b activation, molecules that prevent the binding of TGF-b to its cognate receptors, and inhibitors that block intracellular signaling. Despite promising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the outcomes from clinical trials have shown side effects and inadequate improvement in survival.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first generation of anti-TGF-b therapies had dose-limiting side effects including cardiotoxicities, heart valve lesions, increased risk of bleeding and formation of benign tumors, that were associated with inhibiting all three isoforms of TGF-b. Adverse events associated with systemic inhibition of TGF-b led to dose reductions and treatment interruptions that may have contributed to limited efficacy in cancer clinical trials.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Similarly, given the role of TGF-b in checkpoint inhibitor resistance, prior attempts have been made to combine checkpoint inhibitors and anti-TGF-b therapies, although they have not been clinically successful. These approaches include bintrafusp alfa, a bifunctional fusion protein that combines a PD-L1 monoclonal antibody and a TGF-b trap. These agents failed to demonstrate sufficient efficacy in large clinical studies, which we believe may be due to insufficient anti-tumor activity within the TME, a result of PD-L1 predominately being expressed in immune tissue rather than within the TME. We believe a tumor-targeted TGF-b inhibitor may differentiate in its ability to deliver potent anti-tumor activity directly within the TME and minimize toxicity, where untargeted approaches may have struggled.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 ficerafusp alfa, a Novel Bifunctional Antibody</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Ficerafusp alfa is a bifunctional antibody that combines the well-established biologies of two targets—the anti-EGFR antibody, cetuximab, fused to the extracellular domain of TGF-b receptor 2, or TGF-bRII. As indicated in Figure 4 below, ficerafusp alfa was designed to use EGFR-binding to deliver potent anti-TGF-b therapy directly to EGFR-expressing tumors, potentially removing circulating TGF-b and neutralizing its signaling activity using a strategy known as a “ligand trap”. We believe that localized TGF-b inhibition within the TME has the potential to increase its anti-tumor efficacy and durability, while limiting systemic toxicity. We also deliberately chose EGFR as the tumor-targeting antigen for a TGF-b ligand trap given academic literature support of potential synergistic mechanisms of TGF-b blockade and EGFR signaling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147955</wp:posOffset>
            </wp:positionV>
            <wp:extent cx="5160645" cy="2254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606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4. Schematic of intended mechanism of action of ficerafusp alfa within the TME to overcome anti-EGFR and anti-PD-1 drug resistance</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Ficerafusp alfa was designed to overcome key shortcomings of prior approaches to targeting EGFR and TGF</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b</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Specifically, we believe that ficerafusp alfa is differentiated from previous and existing approaches given the following:</w:t>
      </w:r>
    </w:p>
    <w:p>
      <w:pPr>
        <w:spacing w:after="0" w:line="127" w:lineRule="exact"/>
        <w:rPr>
          <w:sz w:val="20"/>
          <w:szCs w:val="20"/>
          <w:color w:val="auto"/>
        </w:rPr>
      </w:pPr>
    </w:p>
    <w:p>
      <w:pPr>
        <w:ind w:left="1080" w:right="20" w:hanging="532"/>
        <w:spacing w:after="0" w:line="28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ficerafusp alfa localizes TGF-</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b w:val="1"/>
          <w:bCs w:val="1"/>
          <w:i w:val="1"/>
          <w:iCs w:val="1"/>
          <w:color w:val="auto"/>
        </w:rPr>
        <w:t xml:space="preserve"> inhibition directly to EGFR expressing tumor cells</w:t>
      </w:r>
      <w:r>
        <w:rPr>
          <w:rFonts w:ascii="Times New Roman" w:cs="Times New Roman" w:eastAsia="Times New Roman" w:hAnsi="Times New Roman"/>
          <w:sz w:val="18"/>
          <w:szCs w:val="18"/>
          <w:color w:val="auto"/>
        </w:rPr>
        <w:t>. We believe this will lead to higher concentrations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TME to increase the inhibition, reduce overall dose and enhance tolerability.</w:t>
      </w:r>
    </w:p>
    <w:p>
      <w:pPr>
        <w:spacing w:after="0" w:line="60"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ficerafusp alfa may help prevent acquired resistance to EGFR-targeted therapies</w:t>
      </w:r>
      <w:r>
        <w:rPr>
          <w:rFonts w:ascii="Times New Roman" w:cs="Times New Roman" w:eastAsia="Times New Roman" w:hAnsi="Times New Roman"/>
          <w:sz w:val="18"/>
          <w:szCs w:val="18"/>
          <w:color w:val="auto"/>
        </w:rPr>
        <w:t>. Dual targeting of TGF-b alongside EGFR may prevent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resistance mechanisms driven by upregulation of TGF-b and may drive durable tumor responses.</w:t>
      </w:r>
    </w:p>
    <w:p>
      <w:pPr>
        <w:spacing w:after="0" w:line="60"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ficerafusp alfa synergizes with anti-PD-1 therapies</w:t>
      </w:r>
      <w:r>
        <w:rPr>
          <w:rFonts w:ascii="Times New Roman" w:cs="Times New Roman" w:eastAsia="Times New Roman" w:hAnsi="Times New Roman"/>
          <w:sz w:val="18"/>
          <w:szCs w:val="18"/>
          <w:color w:val="auto"/>
        </w:rPr>
        <w:t>. Targeting TGF-b directly in the TME may relieve immune cell suppression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exclusion and enhance both the immune response as well as the activity of anti-PD-1 therapies.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Ficerafusp alfa simultaneously binds both EGFR and TGF</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b1 with high specificity and drives improved anti-tumor activity</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depicted in Figure 5 below, ficerafusp alfa has a similar affinity for EGFR as cetuximab and the same selectivity for TGF-b1, the cancer-associated isoform of TGF-b, as TGF-bRII-Fc. As illustrated in the graphic on the right in Figure 5 below, in a head-to-head study it was demonstrated that ficerafusp alfa is differentiated in its ability to simultaneously bind to both EGFR and TGF-b1, while no such binding to TGF-b1 was observed when cetuximab was used in place of ficerafusp alfa.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142875</wp:posOffset>
            </wp:positionV>
            <wp:extent cx="6686550" cy="21685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8655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5. Ficerafusp alfa has potent binding affinities for both EGFR and TGF-b1</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Figure 6 below illustrates that in a cutaneous cell carcinoma cell line xenograft model, treatment with ficerafusp alfa showed improved anti-tumor activity compared to both cetuximab monotherapy and to the combination of cetuximab with an equimolar TGF-bRII-Fc construct. This demonstrates the improved anti-tumor activity associated with the bifunctional nature of ficerafusp alfa driving the localization of anti-TGF-b activity to the TME through an EGFR-directed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142875</wp:posOffset>
            </wp:positionV>
            <wp:extent cx="4757420" cy="3540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5742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i w:val="1"/>
          <w:iCs w:val="1"/>
          <w:color w:val="auto"/>
        </w:rPr>
        <w:t>Figure 6. Ficerafusp alfa showed improved anti-tumor activity in a cutaneous cell carcinoma cell line xenograft model compared to cetuximab or the combination of cetuximab and TGF-bRII-Fc</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biomarker data demonstrates ficerafusp alfa inhibits TGF-b in tumors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Biomarkers sampled from patients treated with ficerafusp alfa in our Phase 1/1b trials demonstrated direct TGF-b inhibition within the TME and support ficerafusp alfa’s tumor targeted inhibition. As shown in Figure 7 below, treatment with ficerafusp alfa monotherapy at doses greater than 750mg led to statistically significant reductions in phospho-SMAD2, or pSMAD2, which is a direct downstream biomarker of the TGF-b pathway. Figure 7 below also depicts a representative immunohistochemistry, or IHC, slide derived from patient tumor biopsies both prior to and after one dose of 1000mg of ficerafusp alfa monotherapy. Importantly, to our knowledge, this biomarker data represents the first definite demonstration of pSMAD2 inhibition in patient tumors by a TGF-b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147955</wp:posOffset>
            </wp:positionV>
            <wp:extent cx="4954905" cy="3446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54905"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Figure 7. Percent Change from baseline in pSMAD2 from pre-dose to post-dose in patient tumors (left) and representative IHC slide showing statistically significant reduction in pSMAD2 from pre-dose to post-dose at 1000mg of ficerafusp alfa monotherapy in solid tumors (right)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Preclinical in vivo models demonstrate ficerafusp alfa may have an enhanced ability to prevent tumor relapse compared to cetuximab</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Preclinical experiments in patient derived xenograft models of EGFR-expressing treatment-naïve HNSCC tumors demonstrate that ficerafusp alfa may have an enhanced ability to prevent tumor relapse compared to cetuximab. While both agents show significant reductions in tumor growth, treatment with ficerafusp alfa demonstrates sustained anti-tumor effects in a treatment-free, or relapse, phase post day 28. This is demonstrated in Figure 8 below in which 5 out of 10 mice receiving cetuximab had a tumor relapse post day 28 that was not observed for those receiving ficerafusp alfa. We believe the prevention of relapse may be attributable to the TGF-b arm of ficerafusp alfa, which is consistent with the mechanistic rationale behind ficerafusp alfa’s design in which inhibiting TGF-b may prevent acquired resistance to anti-EGFR therapy and result in durable anti-tumor activity. Two forms of statistical testing were conducted between the cetuximab and ficerafusp alfa mice. For both tests, a p-value of 0.05 or less is considered significant. In the relapse phase of the study, 6 animals relapsed in the cetuximab group as compared to 1 animal in the ficerafusp alfa group. Statistical analysis demonstrated significance with a p-value of 0.039. Mean tumor volume compared on day 79 between cetuximab and ficerafusp alfa tested groups also demonstrated statistical significance (p-value=0.041).</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217170</wp:posOffset>
            </wp:positionV>
            <wp:extent cx="4629150" cy="25114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2915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8. Ficerafusp alfa demonstrates sustained anti-tumor effects in a patient-derived HNSCC xenograft model compared to cetuximab</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Ficerafusp alfa synergizes with anti-PD-1 therapies, with anti-tumor activity superior to anti-PD-1 therapy alone</w:t>
      </w:r>
    </w:p>
    <w:p>
      <w:pPr>
        <w:spacing w:after="0" w:line="119" w:lineRule="exact"/>
        <w:rPr>
          <w:sz w:val="20"/>
          <w:szCs w:val="20"/>
          <w:color w:val="auto"/>
        </w:rPr>
      </w:pPr>
    </w:p>
    <w:p>
      <w:pPr>
        <w:jc w:val="both"/>
        <w:ind w:left="120" w:firstLine="440"/>
        <w:spacing w:after="0" w:line="230" w:lineRule="auto"/>
        <w:rPr>
          <w:sz w:val="20"/>
          <w:szCs w:val="20"/>
          <w:color w:val="auto"/>
        </w:rPr>
      </w:pPr>
      <w:r>
        <w:rPr>
          <w:rFonts w:ascii="Times New Roman" w:cs="Times New Roman" w:eastAsia="Times New Roman" w:hAnsi="Times New Roman"/>
          <w:sz w:val="18"/>
          <w:szCs w:val="18"/>
          <w:color w:val="auto"/>
        </w:rPr>
        <w:t xml:space="preserve">To assess the synergy between ficerafusp alfa and anti-PD-1 therapies, we developed a cancer mouse model, in which mice were dosed with an anti-PD-1 antibody in combination with ficerafusp alfa. For this Hu-NOG EXL model published in </w:t>
      </w:r>
      <w:r>
        <w:rPr>
          <w:rFonts w:ascii="Times New Roman" w:cs="Times New Roman" w:eastAsia="Times New Roman" w:hAnsi="Times New Roman"/>
          <w:sz w:val="18"/>
          <w:szCs w:val="18"/>
          <w:i w:val="1"/>
          <w:iCs w:val="1"/>
          <w:color w:val="auto"/>
        </w:rPr>
        <w:t>Cancer Research</w:t>
      </w:r>
      <w:r>
        <w:rPr>
          <w:rFonts w:ascii="Times New Roman" w:cs="Times New Roman" w:eastAsia="Times New Roman" w:hAnsi="Times New Roman"/>
          <w:sz w:val="18"/>
          <w:szCs w:val="18"/>
          <w:color w:val="auto"/>
        </w:rPr>
        <w:t>, anti-PD-1 refractory prostate cancer PC3 cells were implanted into mice and once the tumor had grown to 130mm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mice were randomized into control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 = 10) and test groups which were treated with ficerafusp alfa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 = 10), cetuximab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 = 10), pembrolizumab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 = 10), or combination of ficerafusp alfa and pembrolizumab (</w:t>
      </w:r>
      <w:r>
        <w:rPr>
          <w:rFonts w:ascii="Times New Roman" w:cs="Times New Roman" w:eastAsia="Times New Roman" w:hAnsi="Times New Roman"/>
          <w:sz w:val="18"/>
          <w:szCs w:val="18"/>
          <w:i w:val="1"/>
          <w:iCs w:val="1"/>
          <w:color w:val="auto"/>
        </w:rPr>
        <w:t>n</w:t>
      </w:r>
    </w:p>
    <w:p>
      <w:pPr>
        <w:spacing w:after="0" w:line="1" w:lineRule="exact"/>
        <w:rPr>
          <w:sz w:val="20"/>
          <w:szCs w:val="20"/>
          <w:color w:val="auto"/>
        </w:rPr>
      </w:pPr>
    </w:p>
    <w:p>
      <w:pPr>
        <w:jc w:val="both"/>
        <w:ind w:left="120" w:right="20" w:hanging="4"/>
        <w:spacing w:after="0" w:line="255" w:lineRule="auto"/>
        <w:tabs>
          <w:tab w:leader="none" w:pos="2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This model was powered for statistical significance. These results showed treatment with ficerafusp alfa in combination with pembrolizumab led to a statistical significant improvement in response compared to pembrolizumab monotherapy. We believe this data supports the ability of ficerafusp alfa to synergize with anti-PD-1 therapy in an anti-PD-1 refractory setting and address TGF-b-driven immunosuppression.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Ficerafusp Alfa Clinical Development Guided by Strong Biologic Rationale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ficerafusp alfa has the potential to provide meaningful clinical benefit in solid tumors where there is a strong biologic rationale for the dual inhibition of both EGFR and TGF-b, such as head and neck cancers, colorectal cancer and other squamous cell carcinomas which typically overexpress EGFR and TGF-b pathways.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HNSCC background</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Head and neck cancer accounts for approximately 4% of all cancers in the U.S. with over 90% of cases presenting with squamous cell origin. As depicted in Figure 9 below, HNSCC commonly originates in the mouth and throat, from the mucosa of the oral cavity, oropharynx, hypopharynx and larynx. It is estimated that by 2030 there will be approximately one million new cases of HNSCC worldwide annually. At the time of diagnosis, an estimated 10% of patients have metastatic disease, and up to 30% of additional patients develop a recurrence or metastases over time after initial treatment for advanced HNSCC. The median survival of patients with local-regional recurrences or distant metastases is approximately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145415</wp:posOffset>
            </wp:positionV>
            <wp:extent cx="2760345" cy="27863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6034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9. Subtypes of HNSCC by primary tumor origin. Numbered subtypes indicate where ficerafusp alfa is currently being tested.</w:t>
      </w:r>
    </w:p>
    <w:p>
      <w:pPr>
        <w:spacing w:after="0" w:line="22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Most cases of HNSCC are believed to arise from mutations that accumulate due to carcinogenic exposure, such as tobacco smoke or by HPV. An estimated 80% of cases of R/M HNSCC are HPV-negative, with testing for HPV status typically only being conducted in tumors originating from the oropharynx. HPV-negative patients have significantly worse outcomes compared with HPV-positive patients. HPV-negative HNSCC tumors typically recur locally and are associated with an increased risk of fatal tumor bleeding, excruciating pain and difficulty swallowing. Thus, there is a significant unmet need for therapies with a durable anti-tumor response in this population. HPV-negative HNSCC is also associated with a higher rate of genomic instability resulting in an increased resistance to therapy.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of R/M HNSCC</w:t>
      </w:r>
    </w:p>
    <w:p>
      <w:pPr>
        <w:spacing w:after="0" w:line="119" w:lineRule="exact"/>
        <w:rPr>
          <w:sz w:val="20"/>
          <w:szCs w:val="20"/>
          <w:color w:val="auto"/>
        </w:rPr>
      </w:pPr>
    </w:p>
    <w:p>
      <w:pPr>
        <w:jc w:val="both"/>
        <w:ind w:left="120" w:firstLine="440"/>
        <w:spacing w:after="0" w:line="273" w:lineRule="auto"/>
        <w:rPr>
          <w:sz w:val="20"/>
          <w:szCs w:val="20"/>
          <w:color w:val="auto"/>
        </w:rPr>
      </w:pPr>
      <w:r>
        <w:rPr>
          <w:rFonts w:ascii="Times New Roman" w:cs="Times New Roman" w:eastAsia="Times New Roman" w:hAnsi="Times New Roman"/>
          <w:sz w:val="17"/>
          <w:szCs w:val="17"/>
          <w:color w:val="auto"/>
        </w:rPr>
        <w:t>The standard of care first-line therapy for R/M HNSCC is determined by CPS which corresponds to the number of PD-L1 positive cells in relation to the total number of viable tumor cells. Patients with high CPS scores tend to respond better to PD-1 checkpoint inhibitors, as observed across multiple tumor types. In R/M HNSCC, pembrolizumab monotherapy is recommended for patients with a CPS greater than or equal to one. Pembrolizumab combined with platinum and 5-fluorouracil is recommended for patients with any PD-L1 status. The addition of chemotherapy to pembrolizumab increases the response rate; however, it also significantly reduces the duration of response while increasing toxicity and leads to roughly equivalent median OS with both treatments. For patients with a CPS less than one and no PD-L1 expression within their TME, the typical standard of care is the EXTREME regimen, a combination of cetuximab and chemotherapy, which has low response rates and survival, as well as a difficult tolerability profile.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Phase 3 KEYNOTE-048 trial conducted by Merck &amp; Co investigated pembrolizumab as a monotherapy or in combination with chemotherapy, compared to cetuximab with chemotherapy in first-line R/M HNSCC. The pembrolizumab monotherapy and pembrolizumab and chemotherapy combination response rates of 19% and 36%, respectively, were comparable to the 36% ORR for cetuximab and chemotherapy combination in patients with CPS greater than or equal to one. In these patients, pembrolizumab monotherapy and in combination with chemotherapy led to median OS of 12.3 and 13.0 months, respectively, compared to 10.7 months in the active control arm. While this represents a step forward, there remains significant unmet need in R/M HNSCC for more efficacious therapies that can extend survival, especially for chemotherapy-free alternatives with superior tolerability.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TGF-b expression may limit the effectiveness of HNSCC therapies</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Immune checkpoint inhibitors, such as pembrolizumab, activate T cells to attack tumors and their efficacy is dependent on the number of mutations in the tumor. Tumors with more mutations are easier to recognize and are attacked by T cells, thus are the types of tumors that respond more favorably to immune checkpoint inhibitors. Despite the high mutation load in HPV-negative HNSCC, monotherapy with immune checkpoint inhibitors is associated with relatively low ORR compared to other indications such as NSCLC.</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Similar observations of poor response rates have been reported for cetuximab in R/M HNSCC. EGFR is expressed in greater than 90% of HNSCC tumors and its overexpression is correlated with decreased survival, resistance to radiation, local treatment failure and increased distant metastasis. In R/M HNSCC, only 13% of patients respond to cetuximab monotherapy, suggesting that there is some form of intrinsic resistance. Third-party clinical studies have demonstrated a statistically significant positive correlation in EGFR-overexpression in HPV-negative HNSCC tumor biopsies.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depicted in Figure 10 below, third-party clinical studies have shown plasma samples from patients with HPV-negative HNSCC to have significantly higher levels of TGF-b than non-HNSCC controls, whereas TGF-b levels in HPV-positive HNSCC patients are not significantly different than those of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140335</wp:posOffset>
            </wp:positionV>
            <wp:extent cx="4166235" cy="2049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6623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10. Serum levels of TGF-b are elevated in HPV-negative HNSCC</w:t>
      </w:r>
    </w:p>
    <w:p>
      <w:pPr>
        <w:spacing w:after="0" w:line="22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Therefore, due to the link between EGFR and TGF-b levels and their HPV status, we believe that the dual-inhibition of EGFR and TGF-b signaling in HPV-negative R/M HNSCC has the potential to improve clinical responses and delay or prevent emergence of resistance. Furthermore, third-party studies have shown that TGF-b is an emerging biomarker of resistance to anti-PD-L1 and anti-EGFR-based therapy in advanced HNSCC. Thus, we believe there is strong rationale to pursue the clinical development of ficerafusp alfa, an anti-EGFR and TGF-b-trap bifunctional antibody combined with anti-PD-L1 therapy, such as pembrolizumab, in HNSCC and other squamous cell carcinomas.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Phase 1/1b Trial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Ficerafusp alfa Phase 1/1b trial overview</w:t>
      </w:r>
    </w:p>
    <w:p>
      <w:pPr>
        <w:spacing w:after="0" w:line="119"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conducted an open-label Phase 1/1b trial in patients with EGFR-driven solid tumors which remains open and ongoing. This trial has the goal of establishing safety and tolerability, as well as the recommended dose for expansion for both ficerafusp alfa monotherapy and ficerafusp alfa in combination with pembrolizumab across various tumor types. As illustrated in Figure 11, a total of 46 patients with EGFR-driven advanced solid tumors were given increasing doses of ficerafusp alfa in monotherapy. The first dose tested was 64mg weekly increasing to 1500mg weekly using a “3+3” dose escalation trial design. In combination with pembrolizumab, 15 patients with late-line R/M HNSCC and squamous cancer of the anal canal were dosed. The lowest dose tested in combination with pembrolizumab was 240mg of ficerafusp alfa weekly. Across both monotherapy and in combination, a maximum tolerated dose was not reached. However, an initial recommended dose of 1500mg weekly is being assessed across multiple dose expansion cohorts, including a cohort of patients with first-line R/M HNSCC in combination with pembrolizumab. We expect to enroll up to 200 additional patients across the multiple dose expansion cohorts. This dose was chosen based on safety, tolerability and preliminary efficacy as depicted in the bottom graph in Figure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151765</wp:posOffset>
            </wp:positionV>
            <wp:extent cx="5194935" cy="2211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9493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Figure 11. Schematic of study of safety and tolerability of ficerafusp alfa monotherapy and in combination therapy in patients with EGFR-driven advanced solid tumors across dose escalation cohorts. Preliminary efficacy from dose escalation cohorts with ficerafusp alfa in monotherapy and in combination with pembrolizumab</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Ficerafusp alfa clinical studies in R/M HNSCC</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Our decision to pursue the potential of combination therapy came from both our preclinical rationale and results showing synergy between ficerafusp alfa and pembrolizumab; and from two third-party investigator-sponsored trials, or ISTs, which showed that a combination of cetuximab and PD-1 checkpoint inhibitors in R/M HNSCC led to improved ORR compared to checkpoint inhibitor monotherapy. Importantly, though both of these ISTs are single-arm studies, they were the first demonstration that an approximate doubling in ORR could translate to an increased mPFS, and most notably, significant improvement in OS in first-line R/M HNSCC. The first IST, a 2021 publication in </w:t>
      </w:r>
      <w:r>
        <w:rPr>
          <w:rFonts w:ascii="Times New Roman" w:cs="Times New Roman" w:eastAsia="Times New Roman" w:hAnsi="Times New Roman"/>
          <w:sz w:val="18"/>
          <w:szCs w:val="18"/>
          <w:i w:val="1"/>
          <w:iCs w:val="1"/>
          <w:color w:val="auto"/>
        </w:rPr>
        <w:t>Lancet Oncology,</w:t>
      </w:r>
      <w:r>
        <w:rPr>
          <w:rFonts w:ascii="Times New Roman" w:cs="Times New Roman" w:eastAsia="Times New Roman" w:hAnsi="Times New Roman"/>
          <w:sz w:val="18"/>
          <w:szCs w:val="18"/>
          <w:color w:val="auto"/>
        </w:rPr>
        <w:t xml:space="preserve"> reported an ORR of 48% in a clinical trial assessing cetuximab in combination with pembrolizumab in 33 patients. This was followed by a second IST published in 2022 in </w:t>
      </w:r>
      <w:r>
        <w:rPr>
          <w:rFonts w:ascii="Times New Roman" w:cs="Times New Roman" w:eastAsia="Times New Roman" w:hAnsi="Times New Roman"/>
          <w:sz w:val="18"/>
          <w:szCs w:val="18"/>
          <w:i w:val="1"/>
          <w:iCs w:val="1"/>
          <w:color w:val="auto"/>
        </w:rPr>
        <w:t>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Cancer Research, </w:t>
      </w:r>
      <w:r>
        <w:rPr>
          <w:rFonts w:ascii="Times New Roman" w:cs="Times New Roman" w:eastAsia="Times New Roman" w:hAnsi="Times New Roman"/>
          <w:sz w:val="18"/>
          <w:szCs w:val="18"/>
          <w:color w:val="auto"/>
        </w:rPr>
        <w:t>which reported an ORR of 37% in a trial of cetuximab and nivolumab in 43 patients. These studies showed a 20-month and 18-month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 respectively, an improvement on the 12-month benchmark with pembrolizumab, and support the notion that the addition of anti-EGFR based therapy does not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dampen durability of response or OS like a chemotherapy-containing regimen. Consistent with our hypothesis, we began to observe an encouraging objective response rate in late-line R/M HNSCC patients when treated with ficerafusp alfa and pembrolizumab. Based on these multiple data sets, we prioritized this combination treatment to allow for acceleration of its clinical development.</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decision to rapidly move ficerafusp alfa into first-line therapy for R/M HNSCC in combination with pembrolizumab is aligned with the published goals of the Project FrontRunner initiative from the Oncology Center of Excellence at the FDA. The goals of this initiative include identifying candidate drugs that are appropriate to initially develop for the treatment of early metastatic disease, taking into account clinical, scientific, regulatory and operational considerations. We believe developing ficerafusp alfa as a first-line therapy may allow us to further address the significant unmet need in HNSCC while also potentially increasing durability and survival outcomes consistent with our biologic rationale.</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Data from our Phase 1/1b dose expansion cohort evaluating 1500mg of ficerafusp alfa in combination with pembrolizumab in efficacy-evaluable first-line R/M HNSCC patients with a CPS greater than or equal to one was first presented in an oral presentation at an American Society of Clinical Oncology meeting in June 2023. As depicted in Figure 12 below, we demonstrated a meaningful 54% (21/39) ORR across both HPV-negative and HPV-positive R/M HNSCC. We also observed a markedly higher ORR of 64% (18/28) in the HPV-negative subset. Since the ficerafusp alfa Phase 1/1b clinical trial was a single arm study, the Company cannot derive statistical significance. This ORR result is consistent with the HPV-negative subset having elevated levels of EGFR and TGF-b where we believe ficerafusp alfa has potential to achieve differentiated clinical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147955</wp:posOffset>
            </wp:positionV>
            <wp:extent cx="5126355" cy="2828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2635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Figure 12. Anti-tumor responses in HNSCC patients, treatment-naïve in the R/M setting, treated with ficerafusp alfa in combination with pembrolizumab</w:t>
      </w:r>
    </w:p>
    <w:p>
      <w:pPr>
        <w:spacing w:after="0" w:line="23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depicted in Figure 13 below, in the HPV-negative subset, response rates of more than 50% were observed in both the CPS 1 through 19 and CPS greater than or equal to 20 subgroups, with a 70% (14/20) response rate in patients with locoregional disease involvement. This is notable as pembrolizumab is known to have a lower efficacy in the CPS1-19 subset. We also observed that 18% (5/28) of HPV-negative patients achieved a CR and several other patients achieved deep partial responses, including 5 other patients with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responses greater than 80%. The CR rate of approximately 3-5% was previously reported in the ISTs of cetuximab in combination with pembrolizumab or nivolumab, as well as the KEYNOTE-048 study with pembrolizumab in patients with CPS greater than or equal to one. Since the ficerafusp alfa Phase 1/1b clinical trial was a single arm study, the Company cannot derive statistical significance. We believe these deep responses and high CR rate are driven by the TGF-b arm of ficerafusp alfa, which we believe, based on our hypothesized mechanism of action, is expected to synergize with pembrolizumab by remodeling the TME and activating the immune system (see 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5109210" cy="2322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0921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13. Anti-tumor responses of HPV-negative HNSCC patients treated with ficerafusp alfa and pembrolizumab</w:t>
      </w:r>
    </w:p>
    <w:p>
      <w:pPr>
        <w:spacing w:after="0" w:line="22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HPV-positive patients, we observed a 27% (3/11) ORR. To evaluate why certain patients seemed to be responding well while others were progressing, we conducted a post hoc analysis of the prior smoking history of the HPV-positive patients to understand its potential impact on responses observed. We hypothesized that patients with a history of smoking may resemble HPV-negative tumor biology as opposed to their disease being driven by the HPV-infection. Similarly, third party studies have demonstrated that a history of smoking has been associated with increased EGFR levels as well. Four of the eleven HPV-positive patients in our study had a smoking history (defined as more than ten pack years in which one pack year is the equivalent of smoking one pack of cigarettes a day for one year) and demonstrated the best responses to ficerafusp alfa as shown below in Figure 14. In these four patients, ficerafusp showed a 75% (3/4) ORR and 100% (4/4) DCR, while it showed a 0% (0/7) ORR and 29% (2/7) DCR in the remaining HPV-positive patients who had no prior history of smoking. Given these results, we plan to initiate an additional expansion cohort of HPV-positive R/M HNSCC patients with a history of smoking in 2025.</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217170</wp:posOffset>
            </wp:positionV>
            <wp:extent cx="5160645" cy="3025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6064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14. Prior smoking history may be a factor that impacts the activity seen of ficerafusp alfa + pembrolizumab in HPV-positive patients</w:t>
      </w:r>
    </w:p>
    <w:p>
      <w:pPr>
        <w:spacing w:after="0" w:line="22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high ORR and deep partial responses, we observed that the responses in the combination trial were durable and suggestive of enhanced immunological memory. As depicted in Figure 15 below, the mPFS in HPV-negative subjects was 9.8 months, with 57% (16/28) of patients having a PFS greater than 6 months. The PFS benefit in published historical data for pembrolizumab monotherapy was 3.2 months in an HPV-negative and HPV-positive population, and the PFS benefit for cetuximab and anti-PD-1 combination ISTs was 6.2 to 6.5 months in an HPV-negative and HPV-positive population. Furthermore, the durability of response and time to response are demonstrated in Figure 15 below. Notably, several patients have responses lasting greater than 6 months (11/18) and 12 months (5/18), many of whom still remain on therapy. Amongst the responders, 56% (10/18) of responses occurred at the first post-baseline scan after 6 weeks, and 11/18 overall responses remain ongoing; the mDOR and median OS has not yet been reached. We expect to announce updated interim Phase 1/1b data at future medical meetings in 2025. Interestingly, we observe patients responding to therapy after 4 months and several responses deepening over time, with 4 patients even converting to CRs after 6 months of follow-up. Median duration of response has not yet been reached. We believe these trends in the data are consistent with our mechanism of action related to the TGF-b inhibition within the TME. We aim to replicate this Phase 1b data in a pivotal randomized Phase 2/3 trial as we believe that ficerafusp alfa in combination with pembrolizumab has the potential to become a first-line standard of care therapy in HPV-negative R/M HNSCC.</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4423410" cy="30003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2341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Figure 15. HPV-negative R/M HNSCC patients treated with ficerafusp alfa in combination with pembrolizumab had durable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4380230" cy="3103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8023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480" w:right="2939" w:hanging="5372"/>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Figure 16. Ficerafusp alfa and pembrolizumab demonstrates an encouraging duration of response </w:t>
      </w:r>
      <w:r>
        <w:rPr>
          <w:rFonts w:ascii="Times New Roman" w:cs="Times New Roman" w:eastAsia="Times New Roman" w:hAnsi="Times New Roman"/>
          <w:sz w:val="18"/>
          <w:szCs w:val="18"/>
          <w:color w:val="auto"/>
        </w:rPr>
        <w:t>123</w:t>
      </w:r>
    </w:p>
    <w:p>
      <w:pPr>
        <w:sectPr>
          <w:pgSz w:w="11900" w:h="16838" w:orient="portrait"/>
          <w:cols w:equalWidth="0" w:num="1">
            <w:col w:w="10139"/>
          </w:cols>
          <w:pgMar w:left="320" w:top="455"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conducted an exploratory, post hoc biomarker analysis to evaluate ficerafusp alfa’s impact on TGF-b levels in HPV-negative subjects from the Ph.1/1b dose expansion cohort for whom there were available tissue samples (n=7). Specifically, changes in pSMAD2, a direct downstream biomarker of the TGF-b pathway, were measured to characterize on target inhibition of TGF-b directly within the tumor microenvironment. As illustrated in Figure 17 below, treatment with ficerafusp alfa in combination with pembrolizumab demonstrated a marked reduction of pSMAD2 in tumor tissue. Within these seven HPV-negative patients, there were five objective responses (71% ORR). We believe these reductions in pSMAD2 occur in patients with deep responses to therapy, supporting the proposed mechanism of action of ficerafusp alfa.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147955</wp:posOffset>
            </wp:positionV>
            <wp:extent cx="2854325" cy="3471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5432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17. Biomarker analysis from HNSCC tumors supports inhibition of TGF</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 xml:space="preserve"> within the tumor microenvironment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Ficerafusp alfa has been generally well-tolerated with a favorable tolerability profile</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Ficerafusp alfa has demonstrated a favorable tolerability profile in this Phase 1/1b trial in combination with pembrolizumab. Across all cohorts to date, approximately 200 patients received at least one dose of ficerafusp alfa. As depicted in Figure 18 below, the most frequent adverse event suspected to be related to treatment with ficerafusp alfa was acneiform rash, which is an adverse event that is also observed in approximately 80% of HNSCC patients treated with cetuximab. It is mechanistically related to anti-EGFR activity and is typically well mitigated by treating physicians with the use of steroids and other topicals. Adverse events associated with TGF-b inhibition include mostly low-grade mucosal bleeding not requiring any medical intervention. Most importantly, there were no deaths determined to be related to ficerafusp alfa monotherapy or combination treatment. The 1500mg ficerafusp alfa weekly dose, which most R/M HNSCC patients received, resulted in approximately 150% greater molar concentration of cetuximab than the maximum approved dose of cetuximab. We believe that the anti-TGF-b activity of ficerafusp alfa may dampen the severity of acneiform rash through its impact on neutrophil trafficking, enabling patients to tolerate this higher dose, which may in turn help drive improved efficacy. Additionally, nearly all hypothesized TGF-b-related adverse events were transient grade 1-2 local mucosal bleeds or epistaxis.</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safety profile of ficerafusp alfa + pembrolizumab in our Phase 1/1b dose expansion cohort evaluating 1500mg of ficerafusp alfa in combination with pembrolizumab in efficacy-evaluable first-line R/M HNSCC</w:t>
      </w:r>
    </w:p>
    <w:p>
      <w:pPr>
        <w:ind w:left="120"/>
        <w:spacing w:after="0"/>
        <w:rPr>
          <w:sz w:val="20"/>
          <w:szCs w:val="20"/>
          <w:color w:val="auto"/>
        </w:rPr>
      </w:pPr>
      <w:r>
        <w:rPr>
          <w:rFonts w:ascii="Times New Roman" w:cs="Times New Roman" w:eastAsia="Times New Roman" w:hAnsi="Times New Roman"/>
          <w:sz w:val="18"/>
          <w:szCs w:val="18"/>
          <w:color w:val="auto"/>
        </w:rPr>
        <w:t>patients with a CPS greater than or equal to one was generally well-tolerated. With a median safety follow-up of</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at least 11.7 months and a maximum follow up of 25 months, we observed treatment-related adverse events of dermatitis acneiform in 76% of patients, with 12% of these being Grade 3 or Grade 4 treatment-related adverse events, or TRAEs. Five subjects experienced treatment-related severe adverse events of dermatitis acneiform. Five subjects, or 12%, experienced TRAEs that led to discontinuation of ficerafusp alfa and/or pembrolizumab. Historical pembrolizumab combinations, including lenvatinib or chemotherapy, showed TRAEs leading to discontinuation rates of 28% and 33%,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145415</wp:posOffset>
            </wp:positionV>
            <wp:extent cx="3806190" cy="34207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06190" cy="342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18. Most common (&gt;10%) related adverse events summarized by preferred term and maximum grade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Ficerafusp alfa Phase 2/3 trial in 1L R/M HNSCC allows for efficient path-to-market</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result of our discussions with the FDA, which included discussion of the potential of our study design to support accelerated approval, we believe that ficerafusp alfa has a path to accelerated approval using an ORR-based interim endpoint with confirmatory approval based on an OS endpoint. We have designed a double-blinded placebo-controlled pivotal Phase 2/3 trial of ficerafusp alfa in combination with pembrolizumab as a first-line therapy in R/M HNSCC excluding patients with HPV-positive OPSCC. The total study will enroll approximately 750 patients, which we believe is sufficiently powered to achieve results that may lead to regulatory approval. As seen in Figure 19 below, this registrational study is designed with a dose selection run-in of approximately 20 patients per arm, consistent with the objectives of the FDA’s Project Optimus. Project Optimus is an initiative by the FDA’s Oncology Center for Excellence to move forward with a dose-finding and dose optimization paradigm across oncology that emphasizes selection of a dose or doses that maximizes not only the efficacy of a drug but the safety and tolerability as well. We are currently enrolling an open-label expansion cohort of approximately 30 patients with HPV-negative R/M HNSCC to evaluate a 750mg weekly dose that will help inform the dose selection and plan to present data from this cohort at a future medical meeting in 2025. We expect to initiate our Phase 2/3 trial by late in the fourth quarter of 2024 or early in the first quarter of 2025 and project that the ORR interim analysis conducted on approximately 415 patients may occur by 2027. As part of this study, we intend to source our own doses of pembrolizumab.</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5143500" cy="2297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19. Schematic of ficerafusp alfa + pembrolizumab Phase 2/3 trial design</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Potential expansion opportunities for ficerafusp alfa</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there is potential to expand the use of ficerafusp alfa to other populations of HNSCC patients. Preliminary data from our dose escalation cohort in combination with pembrolizumab have shown durable responses in patients who are refractory to both cetuximab and pembrolizumab, and in patients with a CPS of zero. These early data suggest an ability for ficerafusp alfa to synergize with pembrolizumab in checkpoint-refractory tumors, and we have initiated an expansion cohort in patients with HPV-negative R/M HNSCC with a CPS of zero and expect to present preliminary efficacy data at a future medical meeting in 2026. Should we see responses beyond what is typically expected with chemotherapy regimens, we believe there is an opportunity to expand the development of ficerafusp alfa in combination with pembrolizumab to the approximately 20% of the R/M HNSCC that do not express PD-L1 and provide a chemotherapy-free alternative. In addition, the encouraging anti-tumor activity of ficerafusp alfa, specifically its durability and its tolerability profile, suggest that there is potential to develop it for the treatment of locally advanced HPV-negative HNSCC or in the neoadjuvant or adjuvant setting. We expect that investigator-initiated studies may be started in 2025 to signal-seek in these areas.</w:t>
      </w:r>
    </w:p>
    <w:p>
      <w:pPr>
        <w:spacing w:after="0" w:line="19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Beyond HNSCC, we believe ficerafusp alfa has the potential to provide meaningful clinical benefit in other squamous cell carcinomas where there is a strong biologic rationale for the dual inhibition of both EGFR and TGF-b. We have demonstrated preliminary activity of ficerafusp alfa as a monotherapy in CSCC, a cancer type that results in up to 8,800 deaths annually in the U.S. As shown in Figure 20, in the monotherapy arm of our ongoing Phase 1/1b trial, ficerafusp alfa showed a preliminary 42% (5/12) ORR as a second-line therapy in patients with CSCC who were refractory to a PD-1 checkpoint inhibitor, a population in which historical response rates are approximately 5% with chemotherapy. This cohort continues to enroll patients and we expect to share updates to this preliminary data set at future medical meetings in 2025.</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20. ficerafusp alfa monotherapy led to a preliminary 42% (5/12) ORR in 12 patients</w:t>
      </w:r>
    </w:p>
    <w:p>
      <w:pPr>
        <w:spacing w:after="0" w:line="22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believe that there is potential to develop ficerafusp alfa both in monotherapy and in combination for the treatment of other EGFR-expressing tumors, such as colorectal cancers where cetuximab has already demonstrated clinical efficacy, and where TGF-b inhibition has the potential to improve upon both the efficacy and durability of existing therapies. Preclinical data we presented at the 2023 Society for Immunotherapy of Cancer annual meeting provide early validation for the combination of ficerafusp alfa and KRAS mutant inhibitors to delay acquired resistance in colorectal cancer.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intense competition to develop new products and technologies. We compete directly with companies dedicating their resources to advance novel therapies for the treatment of cancer. We face substantial competition from multiple sources, including large pharmaceutical and biotechnology companies, academic research institutions, governmental agencies and public and private research institutions. We anticipate that we will continue to face increasing competition as new therapies, technologies and data emerge within the field of oncology and, more specifically, for the treatment of HNSCC.</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to compete with commercially available therapies for the treatment of HNSCC, including pembrolizumab (marketed as Keytruda by Merck &amp; Co); the combination of pembrolizumab, platinum chemotherapy and 5-fluorouracil; and the combination of cetuximab (marketed as Erbitux by Eli Lilly in the U.S. and by Merck KGaA outside of the U.S.), platinum chemotherapy and 5-fluorouracil. In addition, there are numerous companies that are developing new treatments for HNSCC, including Merck &amp; Co, Pfizer Inc., Genmab A/S, Exelixis, Inc., Merus N.V., Iovance Biotherapeutics, Inc., Kura Oncology, Inc. and ALX Oncology Holdings, Inc.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competitors have significantly greater financial resources and expertise in areas such as research and development, manufacturing, regulatory protocols and marketing. Mergers and acquisitions in the pharmaceutical, biopharmaceutical and biotechnology industries may result in a concentration of incremental resources amongst a fewer number of our competitors. Early-stage companies may also prove to be significant competitors, particularly through collaborative arrangements with larger and more well-established companies.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These companies also compete with us in the recruitment and retainment of top qualified scientific and/or management personnel, establishment of clinical trial sites and patient registration for clinical trials and acquisition of technologies complementary to, or necessary for, our programs.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our product candidates do not offer sustainable advantages over other available products, we may not be able to successfully compete against current and future competitors. Our competitors also may obtain FDA or other regulatory approval for their products more rapidly, resulting in a stronger or dominant market position before we are able to enter the market. The key factors that will ultimately affect the success of our bifunctional therapies, if approved, are likely their safety, efficacy, convenience and cost.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Transfer And License Agreement with Biocon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October 1, 2019, we entered into a Contract Transfer and License Agreement, or the Biocon Agreement, with Biocon Limited, or Biocon. Pursuant to the Biocon Agreement, we and Biocon agreed that Biocon would grant us a license, with the right to grant and authorize sublicenses to make, use, sell, offer to sell, import, and otherwise exploit certain fusion protein products of which ficerafusp alfa was the most advanced program. Under the Biocon Agreement, Biocon also assigns to us the “Assumed Contracts,” which include master services agreements, an authorization letter, an evaluation license agreement with Life Technologies Corporation, or the Life Technologies Agreement, consultancy agreements, a research agreement and a quality agreement.</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Assumed Contract was fully transferred to us at the time we executed the Biocon Agreement. With exception of the Life Technologies Agreement, each Assumed Contract has been terminated. While the Life Technologies Agreement is still in effect, it imposes no material obligations on us and no costs have been incurred since 2019.</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Biocon Agreement, we paid INR 550 million as consideration for the license grant. Under the Biocon Agreement, Biocon is required on a calendar quarterly basis to deliver any additional materials or know-how relating to the product up until a mid-single digit anniversary from the effective date of the Biocon Agreement. In the event of an acquisition of all or substantially all of our assets and business by a third party, this obligation shall terminate. Additionally, we have assumed sole responsibility for complying with any post-approval developments and post-marketing activities such as routine and non-routine pharmacovigilance monitoring and post-marketing surveillance for the products – including any and all clinical trials.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Biocon Agreement is governed by English law and does not contain any termination rights. Under English law, we and Biocon could mutually agree to terminate the Biocon Agreement. Additionally, there are no future milestone payments, royalty terms or any additional payments required.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Trial Collaboration And Supply Agreement with MSD</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On May 19, 2022, we entered into a Clinical Trial Collaboration and Supply Agreement, or the MSD Agreement, with MSD International GmbH, or MSDIG, and MSD International Business GmbH, MSDIB, and collectively with MSDIG, MSD. Pursuant to the MSD Agreement, we provide ficerafusp alfa and MSD provides pembrolizumab to be used in combination in a clinical trial sponsored by us. The clinical trial is a First-in-Human, Phase 1/1b, Open-label, Multicenter Study intended to characterize the safety, tolerability and recommended dose of single agent ficerafusp alfa and combination ficerafusp alfa plus pembrolizumab. To facilitate such collaboration activities and information exchange and pursuant to the MSD Agreement, we and MSD created a joint development committee with an equal number of representatives from each party.</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MSD Agreement, all clinical data resulting from the portion of the clinical trial involving the combination of ficerafusp alfa and pembrolizumab is jointly owned by both us and MSD. We own all clinical data resulting from the part of the clinical trial involving ficerafusp alfa alone or in combination with other treatments that are not pembrolizumab, and MSD owns all clinical data resulting from the part of the clinical trial involving pembrolizumab alone or in combination with other treatments that are not ficerafusp alfa.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MSD Agreement also sets forth our regulatory responsibilities as the sponsor of the clinical trial – such as obtaining all necessary regulatory approvals, maintaining reports and other related documentation in a scientific and legally compliant manner, and handling safety reporting. Prior to dosing any patient with MSD’s compound, we are required to organize and invite MSD to attend a safety review meeting to discuss the most recent clinical safety data (and other data reasonably requested by MSD to evaluate the safety of the proposed study arms). We have also been responsible for preparing the patient informed-consent form for MSD’s compound study (in consultation with MSD) and transmitting data on severe adverse events from the MSD compound study to MSD. Each party is responsible for its own internal costs and expenses to support the clinical trials.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term of the MSD Agreement commenced on May 19, 2022 and will expire once we deliver the final documents, signifying the completion of the clinical trial, unless the MSD Agreement is earlier terminated in accordance with the terms of the MSD Agreement. Pursuant to the MSD Agreement, MSD may terminate the MSD Agreement early if it believes its products are being used unsafely. Either party may terminate the MSD Agreement early for breach, regulatory action, force majeure, or concerns about patient safety. Additionally, either party may terminate the MSD Agreement early if one is planning to discontinue development of its own compound for medical, scientific or legal reasons.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and any issued patents we may obtain do not guarantee us the right to practice our technology or commercialize our product candidates. We also cannot predict the breadth of claims that may be allowed or enforced in any patents we may own or in-license in the future. Any issued patents that we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 The term of a patent claiming a new drug product may also be eligible for a limited patent term extension when FDA approval is granted, provided statutory and regulatory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restoration period may not extend the patent term beyond 14 years from the date of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 In the future, if our product candidates receive approval by the FDA, we expect to apply for patent term extensions on one issued patent covering each of those products, depending upon the length of the clinical studies for each product and other factors.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9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policy is to file patent applications to protect technology, inventions and improvements to inventions that may be commercially important to the development of our business. We seek patent protection in the U.S. and foreign countries for a variety of technologies, including our ficerafusp alfa product candidate and methods of treating cancer using the same.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Ficerafusp alfa</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an exclusive license from Biocon Limited to one patent family directed to ficerafusp alfa and other fusion proteins. As of August 1, 2024, the patent contains one U.S. patent directed to ficerafusp alfa composition of matter; one U.S. patent directed to methods of using ficerafusp alfa; one European patent directed to ficerafusp alfa composition of matter and its use; and one issued patent in each of Australia, Canada, India, Japan, New Zealand, Russia, Malaysia, and the United Arab Emirates, each related to ficerafusp alfa. Each of the U.S. and foreign patents is expected to expire in 2033; in each instance provided that all appropriate maintenance fees are paid and not including any patent term adjustment, patent term extension, Supplementary Protection Certificate, or SPC, or the like. The patent family also contains a number of pending patent applications in the U.S., Europe, Canada, and China. Any patents that issue based on these patent applications, if granted and all appropriate maintenance fees paid, are expected to expire in 2033, not including any patent term adjustment, patent term extension, SPC, or the like.</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2024, we also solely own a patent portfolio containing four patent families each containing pending patent applications that, if issued, may provide additional intellectual property protection for ficerafusp alfa. Each of the four patent families in this patent portfolio are listed below.</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August 1, 2024, we solely own one patent family directed to formulations of ficerafusp alfa that contains pending patent applications in the U.S., Australia, Brazil, Canada, China, Europe, Hong Kong, India, Japan, New Zealand, and the United Arab Emirates. Any patents that issue based on these patent applications, if granted and all appropriate maintenance fees paid, are expected to expire in 2041, not including any patent term adjustment, patent term extension, SPC, or the like.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2024, we solely own one patent family directed to methods of using ficerafusp alfa in combination with programmed cell death protein 1, or PD1, targeting agents that contains pending patent applications in the U.S., Australia, Brazil, Canada, China, Europe, Hong Kong, India, Japan, New Zealand,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United Arab Emirates. Any patents that issue based on these patent applications, if granted and all appropriate maintenance fees paid, are expected to expire in 2041, not including any patent term adjustment, patent term extension, SPC, or the like.</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August 1, 2024, we solely own one patent family directed to methods of using ficerafusp alfa in combination with Kirsten ras oncogene homolog, or KRAS, targeting agents that contains a pending U.S. patent application, a pending PCT patent application, and a pending Taiwanese patent application. Any patents that issue based on these patent applications, if granted and all appropriate maintenance fees paid, are expected to expire in 2044, not including any patent term adjustment, patent term extension, SPC, or the like.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2024, we solely own one patent family relating to methods of treating glioblastoma that contains a pending U.S. provisional application. Any patents that issue based on this patent application, if granted and all appropriate maintenance fees paid, are expected to expire in 2044, not including any patent term adjustment, patent term extension, SPC, or the like.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leveraged multiple third-party manufacturers to support the manufacturing of ficerafusp alfa for clinical trials and, if we receive regulatory approval, we intend to rely on such third parties for commercial manufacture. We do not own or operate, and currently have no plans to establish, any manufacturing facilities. We believe this strategy will enable us to maintain a nimble, efficient, and effective working model without making significant internal capital investments. We are focused on developing high-yield and scalable processes and analytical methods for the manufacture of ficerafusp alfa. We believe our manufacturing scale will support drug supply for our future clinical trials and commercial demand for ficerafusp alfa to treat R/M HNSCC squamous cell carcinoma, if approved. We currently obtain our supplies from third-party manufacturers on a purchase order basis and do not have any long-term supply agreements in place. Specifically, Biocon Biologics, Ltd., Syngene and WuXi Bio are our principal clinical drug suppliers, amongst others, and Thermo Fisher Scientific and affiliated entities are our drug product and packaging suppliers. We are currently considering options for commercial product suppliers and will finalize our decisions in due course. To de-risk our supply chain, and as we advance toward potential commercialization, we intend to enter into long-term supply agreements as well as evaluate additional product manufacturing sources.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Review and Approval for Licensing Biologics in the U.S.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U.S., the FDA regulates biological products under the Federal Food, Drug, and Cosmetic Act, or the FDCA, the Public Health Service Act, or the PHSA, and their implementing regulations. FDA approval is required before any biological product can be marketed in the U.S. Biological products are also subject to other federal, state, and local statutes and regulations. If we fail to comply with applicable FDA or other requirements at any time during the product development process, clinical testing, the approval process or after approval, we may become subject to administrative or judicial sanctions or other consequences, including the FDA’s refusal to allow us to proceed with clinical testing, issuance of clinical holds for planned or ongoing studies, refusal to approve pending applications, license suspension or revocation, withdrawal of an approval, issuance of untitled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or warning letters, product recalls, product seizures, import detentions or refusals, total or partial suspension of manufacturing or distribution, injunctions, fines, civil penalties or criminal prosecution. Any such action could have a material adverse effect on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process required by the FDA before product candidates may be marketed in the U.S. generally involves the following:</w:t>
      </w:r>
    </w:p>
    <w:p>
      <w:pPr>
        <w:spacing w:after="0" w:line="131" w:lineRule="exact"/>
        <w:rPr>
          <w:sz w:val="20"/>
          <w:szCs w:val="20"/>
          <w:color w:val="auto"/>
        </w:rPr>
      </w:pPr>
    </w:p>
    <w:p>
      <w:pPr>
        <w:ind w:left="1080" w:right="2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and nonclinical animal studies in compliance with applicable good laboratory practices, or GLP, requirements;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which must become effective before human clinical trials may begin in the U.S. and must be updated annually;</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representing each clinical site before each clinical trial may be initiated;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GCPs, to establish the safety and efficacy of the product candidate for each proposed indication;</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drug substance and drug product in accordance with the FDA’s current good manufacturing practice, or cGMP, requirements, along with required analytical and stability testing;</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requesting marketing approval for one or more proposed indications, that includes sufficient evidence of establishing the safety, purity and potency of the proposed biological product for its intended indication, including from results of nonclinical testing and clinical trials;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application by an FDA Advisory Committee, where appropriate and if applicable;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proposed product is produced to assess compliance with cGMPs and to assure that the facilities, methods, and controls are adequate to preserve the product’s identity, quality, and strength;</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studies and clinical trial sites to assure compliance with GLPs and GCPs, as applicable, and the integrity of data in support of the BLA;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under the Prescription Drug User Fee Act, or the PDUFA, unless exempted;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the BLA.</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Nonclinical Studies and Investigational New Drug Application</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biological product in humans, a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biological product to humans in clinical trials in the U.S. The central focus of an IND submission is on the general investigational plan, the protocol(s) for human trials and the safety of trial participants.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At any time during the initial 30 day IND review period or while clinical trials are ongoing under the IND, the FDA may impose a partial or complete clinical hold. Clinical holds may be imposed by the FDA when there is concern for patient safety, and may be a result of new data, findings, or developments in clinical, nonclinical, and/or chemistry, manufacturing and controls or where there is non-compliance with regulatory requirements. A clinical hold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to be conducted, and the FDA must grant permission, either explicitly or implicitly by not objecting, before each clinical trial can begin.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the inclusion and exclusion criteria, the parameters to be used in monitoring safety, and the efficacy criteria to be evaluated. A protocol for each clinical trial and any subsequent protocol amendments must be submitted to the FDA as part of the IND.</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approval must also be obtained from each clinical trial site’s IRB, before the trials may be initiated and the IRB must monitor the trial until completed. The IRB will consider, among other things, clinical trial design, patient informed consent, ethical factors, the safety of human subjects and the possible liability of the institution. There are also requirements governing the reporting of ongoing clinical trials and clinical trial results to public registries, including on clinicaltrials.gov.</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clinical investigation of a biological product is generally divided into three or four phases. Although the phases are usually conducted sequentially, they may overlap or be combined.</w:t>
      </w:r>
    </w:p>
    <w:p>
      <w:pPr>
        <w:spacing w:after="0" w:line="52" w:lineRule="exact"/>
        <w:rPr>
          <w:sz w:val="20"/>
          <w:szCs w:val="20"/>
          <w:color w:val="auto"/>
        </w:rPr>
      </w:pPr>
    </w:p>
    <w:p>
      <w:pPr>
        <w:jc w:val="both"/>
        <w:ind w:left="560" w:right="20"/>
        <w:spacing w:after="0" w:line="261" w:lineRule="auto"/>
        <w:rPr>
          <w:sz w:val="20"/>
          <w:szCs w:val="20"/>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investigational product is initially introduced into healthy human subjects or, in the case of some products designed to address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life-threatening diseases, patients with the target disease or condition. These trials are designed to evaluate the safety, dosage tolerance, metabolism and pharmacologic actions of the investigational product in humans, the side effects associated with increasing doses, and if possible, to gain early evidence on effectiveness.</w:t>
      </w:r>
    </w:p>
    <w:p>
      <w:pPr>
        <w:spacing w:after="0" w:line="72" w:lineRule="exact"/>
        <w:rPr>
          <w:sz w:val="20"/>
          <w:szCs w:val="20"/>
          <w:color w:val="auto"/>
        </w:rPr>
      </w:pPr>
    </w:p>
    <w:p>
      <w:pPr>
        <w:jc w:val="both"/>
        <w:ind w:left="560" w:right="20"/>
        <w:spacing w:after="0" w:line="284" w:lineRule="auto"/>
        <w:rPr>
          <w:sz w:val="20"/>
          <w:szCs w:val="20"/>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investigational product is administered to a limited patient population to evaluate dosage tolerance and optimal dosage,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adverse side effects and safety risks, and preliminarily evaluate efficacy.</w:t>
      </w:r>
    </w:p>
    <w:p>
      <w:pPr>
        <w:spacing w:after="0" w:line="50" w:lineRule="exact"/>
        <w:rPr>
          <w:sz w:val="20"/>
          <w:szCs w:val="20"/>
          <w:color w:val="auto"/>
        </w:rPr>
      </w:pPr>
    </w:p>
    <w:p>
      <w:pPr>
        <w:jc w:val="both"/>
        <w:ind w:left="560"/>
        <w:spacing w:after="0" w:line="267" w:lineRule="auto"/>
        <w:rPr>
          <w:sz w:val="20"/>
          <w:szCs w:val="20"/>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investigational product is administered to an expanded patient population, generally at geographically dispersed clinical trial sites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enough data to statistically evaluate safety, purity and potency, to evaluate the overall benefit-risk profile of the investigational product, and to provide an adequate basis for physician labeling.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560" w:right="20"/>
        <w:spacing w:after="0" w:line="267" w:lineRule="auto"/>
        <w:rPr>
          <w:sz w:val="20"/>
          <w:szCs w:val="20"/>
          <w:color w:val="auto"/>
        </w:rPr>
      </w:pPr>
      <w:r>
        <w:rPr>
          <w:rFonts w:ascii="Times New Roman" w:cs="Times New Roman" w:eastAsia="Times New Roman" w:hAnsi="Times New Roman"/>
          <w:sz w:val="18"/>
          <w:szCs w:val="18"/>
          <w:i w:val="1"/>
          <w:iCs w:val="1"/>
          <w:color w:val="auto"/>
        </w:rPr>
        <w:t>Phase 4</w:t>
      </w:r>
      <w:r>
        <w:rPr>
          <w:rFonts w:ascii="Times New Roman" w:cs="Times New Roman" w:eastAsia="Times New Roman" w:hAnsi="Times New Roman"/>
          <w:sz w:val="18"/>
          <w:szCs w:val="18"/>
          <w:color w:val="auto"/>
        </w:rPr>
        <w:t>. In some cases, the FDA may condition approval of a BLA for a product candidate on the sponsor’s agreement to conduct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trials after approval or a sponsor may voluntarily conduct additional clinical trials after approval to gain more information about the biological product. Such post-approval trials are typically referred to as Phase 4 clinical trials.</w:t>
      </w:r>
    </w:p>
    <w:p>
      <w:pPr>
        <w:spacing w:after="0" w:line="175" w:lineRule="exact"/>
        <w:rPr>
          <w:sz w:val="20"/>
          <w:szCs w:val="20"/>
          <w:color w:val="auto"/>
        </w:rPr>
      </w:pPr>
    </w:p>
    <w:p>
      <w:pPr>
        <w:jc w:val="both"/>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w:t>
      </w:r>
      <w:r>
        <w:rPr>
          <w:rFonts w:ascii="Times New Roman" w:cs="Times New Roman" w:eastAsia="Times New Roman" w:hAnsi="Times New Roman"/>
          <w:sz w:val="17"/>
          <w:szCs w:val="17"/>
          <w:i w:val="1"/>
          <w:iCs w:val="1"/>
          <w:color w:val="auto"/>
        </w:rPr>
        <w:t xml:space="preserve">in vitro </w:t>
      </w:r>
      <w:r>
        <w:rPr>
          <w:rFonts w:ascii="Times New Roman" w:cs="Times New Roman" w:eastAsia="Times New Roman" w:hAnsi="Times New Roman"/>
          <w:sz w:val="17"/>
          <w:szCs w:val="17"/>
          <w:color w:val="auto"/>
        </w:rPr>
        <w:t>testing that suggest a significant risk in humans exposed to the product candidate. The FDA, the IRB, or the clinical trial sponsor may suspend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and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7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 sponsor of an investigational biological product for a serious disease or condition is required to make available, such as by posting on its website, its policy on evaluating and responding to requests for individual patient access to such investigational biological product. This requirement applies on the earlier of the first initiation of a Phase 2 or Phase 3 trial of the investigational biological product or, as applicable, 15 days after the biological product receives a designation as a breakthrough therapy or fast track product.</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development of a new biologic, sponsors are given opportunities to meet with the FDA at certain points. These points may be prior to submission of an IND, at the end of Phase 1,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Submission of a BLA to the FDA</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detailed investigational product information is submitted to the FDA in the form of a BLA requesting approval to market the product for one or more indications. Under federal law, the submission of most BLAs is subject to an application user fee, and the sponsor of an approved BLA is also subject to an annual program fee for each approved biological product on the market. Applications for orphan drug products are exempted from the BLA application fee and may be exempted from program fees, unless the application includes an indication for other than a rare disease or condition.</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 BLA must include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trials initiated by investigators. To support marketing approval, the data submitted must be sufficient in quality and quantity to establish the safety and effectiveness of the investigational product to the satisfaction of the FDA.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conducts a preliminary review of all BLAs within the first 60 days after submission before accepting them for filing to determine whether they are sufficiently complete to permit substantive review. The FDA may request additional information rather than accept an application for filing. Under the performance goals and policies implemented by the FDA under PDUFA, once a BLA has been submitted, the FDA’s goal for novel biological products generally is to review the application within ten months after it accepts the application for filing, or, if the application is granted priority review, six months after the FDA accepts the application for filing. The FDA does not always meet its PDUFA goal dates, and the review process may be extended. For example, the review process and the PDUFA goal date may be extended by three months if the FDA requests or if the applicant otherwise provides additional data, analysis or information that FDA deems a major amendment.</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the sponsor and one or more clinical sites to assure compliance with GCPs. Material changes in manufacturing equipment, location, or process post-approval, may result in additional regulatory review and approval.</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FDA’s Decision on a BLA</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and any FDA inspections of nonclinical and clinical trial sites to assure compliance with GLPs or GCPs, the FDA may approve the BLA or issue a complete response letter. Under the PHSA, the FDA may approve a BLA if it determines the product is safe, pure, and potent, and that the facility in which the product will be manufactured, processed, packaged or held meets standards designed to assure the product’s continued safety, purity and potency. If the FDA determines the product meets those standards, it may issue an approval letter authorizing commercial marketing of the biological product with specific prescribing information for specific indications. If the application is not approved, FDA will issue a complete response letter, which indicates that the review cycle of the application is complete and the application is not ready for approval. A complete response letter will identify the deficiencies that prevent the FDA from approving the application and may require additional clinical data or an additional Phase 3 clinical trial(s), or other significant, expensive and time-consuming requirements related to clinical trials, nonclinical studies or manufacturing. Even if such additional information is submitted, the FDA may ultimately decide that the BLA does not satisfy the criteria for approval and issue a denial.</w:t>
      </w:r>
    </w:p>
    <w:p>
      <w:pPr>
        <w:spacing w:after="0" w:line="19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FDA could also approve the BLA with a Risk Evaluation and Mitigation Strategy, or REMS, program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individuals in the U.S., or more than 200,000 individuals in the U.S. and for which there is no reasonable expectation that the cost of developing and making a drug or biological product available in the U.S.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FDA has historically taken the position that the scope of orphan exclusivity aligns with the approved indication or use of a product, rather than the disease or condition for which the product received orphan designation. However,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and will continue tying the scope of orphan-drug exclusivity to the uses or indications for which a drug is approved. It is unclear how future litigation, legislation, agency decisions, and administrative actions will impact the scope of orphan drug exclusivity.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candidate with a fast track designation and/or breakthrough therapy designation, may be eligible for other types of FDA programs intended to expedite development and review, such as priority review. An application for a biological product will receive priority review designation if it is for a biological product that treats a serious condition and, if approved, would provide a significant improvement in safety or effectiveness. The FDA will attempt to direct additional resources to the evaluation of an application for a new biological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and priority review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Product candidates studied for their safety and effectiveness in treating serious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or FDORA, the FDA may require, as appropriate, that such trials be underway prior to approval or within a specific time period after the date of approval for a product granted accelerated approval. Under FDORA, the FDA has increased authority for expedited procedures to withdraw approval of a biologic or indication approved under accelerated approval if, for example, the sponsor fails to conduct the required post-marketing studies or if such studies fail to verify the predicted clinical benefit. In addition, for products being considered for accelerated approval, the FDA generally requires, unless otherwise informed by the FDA, that all advertising and promotional materials intended for dissemination or publication within 120 days of marketing approval be submitted to FDA for review during the pre-approval period. After 120 days following marketing approval, unless otherwise informed by the FDA, advertising and promotional materials must be submitted at least 30 days prior to the intended time of initial dissemination or publication.</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Biological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dosage forms, indications or other labeling claims, are subject to prior FDA review and approval.</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Biological product manufacturers are required to register their establishments with the FDA and certain state agencies and are subject to periodic unannounced inspections for compliance with cGMPs. Changes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Manufacturers and manufacturers’ facilities are also required to comply with applicable product tracking and tracing requirements and notify the FDA of counterfeit, diverted, stolen and intentionally adulterated products or products that are otherwise unfit for distribution in the U.S. Accordingly, manufacturers must continue to expend time, money and effort in the area of production and quality control to maintain compliance with cGMP and other aspects of regulatory compliance.</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may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may suspend or revoke product license approvals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FDA has authority to require post-market studies, in certain circumstances, on reduced effectiveness of a biological product and FDA may require labeling changes related to new reduced effectiveness information. Other potential consequences of a failure to maintain regulatory compliance include, among other things:</w:t>
      </w:r>
    </w:p>
    <w:p>
      <w:pPr>
        <w:spacing w:after="0" w:line="94"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 Healthcare Provider letters, press releases or other communications containing warnings or other safety information about the product;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clinical holds on ongoing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BLAs or supplements to approved BLAs, or suspension or revocation of approved BLAs;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or the imposition of civil or criminal penalties.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prescription drug products, including biological products. These regulations include, among other things, standards and regulations for direct-to- consumer advertising, communications regarding unapproved uses, industry-sponsored scientific and educational activities and promotional activities involving the internet and social media. Promotional claims about a drug’s safety or effectiveness are prohibited before the BLA is approved. Once a BLA is approved, the sponsor can only make those claims relating to safety, efficacy, purity and potency that are consistent with the biological product’s approved label. Additionally, promotional materials for prescription drug products must be submitted to the FDA in conjunction with their first use.</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U.S., healthcare professionals are generally permitted to prescribe legally available drugs for uses that are not described in the product’s labeling and that differ from those approved by the FDA. The FDA does not regulate the practice of medicine or healthcare providers’ choice of treatments; however, FDA restricts manufacturers’ communications of off-label uses. 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Pediatric Trials and Exclusivity</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of 2003, a BLA (or BLA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A sponsor who is planning to submit a marketing application for a biological product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Generally, development program candidates designated as orphan drugs are exempt from the above requirements. FDA and the sponsor must reach agreement on the PSP. A sponsor can submit amendments to an agreed upon initial PSP at any time if changes to the pediatric plan need to be considered based on data collected from nonclinical studies, early phase clinical trials, and/or other clinical development programs.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The FDA may send a non-compliance letter to any sponsor that fails to submit the required assessment, keep a deferral current or fails to submit a request for approval of a pediatric formulation. Unless otherwise required by regulation, the pediatric data requirements do not apply to products with orphan designation.</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non-patent exclusivity in the U.S. and, if granted for a biologic, provides for the attachment of an additional six months of marketing protection to the term of any existing regulatory exclusivity for all formulations, dosage forms, and indications of the biologic, including the five-year and three-year non-patent and orphan exclusivity. This six-month exclusivity may be granted if a BLA sponsor submits pediatric data that fairly respond to a written request from the FDA for such data, provided that 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time pediatric exclusivity is granted there is not less than nine months of term remaining.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sponsor’s data.</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and the approval of that application.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or the ACA, signed into law on March 23, 2010, includes a subtitle called the Biologics Price Competition and Innovation Act of 2009, or the BPCIA, which created an abbreviated approval pathway for biological products shown to be similar to, or interchangeable with, an FDA-licensed reference biological product. Biosimilarity, which requires that there be no clinically meaningful differences between the proposed biological product and the reference product in terms of safety, purity, and potency, can be shown through analytical studies, animal studies, and a clinical trial or trials. Interchangeability requires that a product is biosimilar to the reference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The first biologic submitted under the abbreviated approval pathway that is determined to be interchangeable with the reference product is eligible for a period of exclusivity against other biologics submitted under the abbreviated approval pathway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Products deemed “interchangeable” by the FDA may be readily substituted by pharmacies and such substitution is which are governed by state pharmacy law. The law also includes an extensive process for the innovator biologic and biosimilar manufacturer to litigate patent infringement, validity and enforceability prior to the approval of the biosimilar. Since the passage of the BPCIA, many states have passed laws or amendments to laws, including laws governing pharmacy practices to regulate the use of biosimilars.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the success of certain of our product candidates may depend, in part, on the development and commercialization of a companion diagnostic. 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primary types of FDA marketing authorization applicable to a medical device are clearance of a premarket notification, or 510(k), application, grant of a de novo request for classification, or de novo grant, and approval of a premarket approval, or PMA, application.</w:t>
      </w:r>
    </w:p>
    <w:p>
      <w:pPr>
        <w:spacing w:after="0" w:line="194"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 The 510(k) premarket notification pathway generally takes from three to twelve months from the date the application is completed, but can take significantly longer.</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For novel medical devices that are low to moderate risk and are not substantially equivalent to a predicate device, a manufacturer may request a risk-based classification determination, called a “Request for Evaluation of Automatic Class III Designation,” for the device in accordance with de novo classification process. This procedure allows a de novo requester whose novel device is automatically classified into Class III to request down-classification of its medical device into Class I or Class II on the basis that the device presents low or moderate risk, rather than requiring the submission and approval of a PMA. Under the FDCA, FDA must make a classification determination for the device that is the subject of a de novo request within 120 days of receipt of the request. However, as specified in FDA’s Medical Device User Fee Amendments of 2022, or MDUFA V, commitment letter, the FDA’s goal is to make a decision on most de novo requests within 150 FDA Days, although in practice the FDA’s review may take significantly longer. During the pendency of FDA’s review, the FDA may issue an additional information letter, which places the de novo request on hold and stops the review clock pending receipt of the additional information requested. In the event the de novo requestor does not provide the requested information within 180 calendar days, the FDA will consider the de novo request to be withdrawn.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FDA may reject the de novo request if it identifies a legally marketed predicate device that would be appropriate for a 510(k) or determines that the device is not low to moderate risk or that General Controls would be inadequate to control the risks and Special Controls cannot be developed. In the event the FDA determines that the data and information submitted demonstrate that General Controls or General and Special Controls are adequate to provide reasonable assurance of safety and effectiveness, the FDA will grant the de novo request and a classification regulation will be established for the device type. When the FDA grants a de novo request for classification, the device is granted marketing authorization and can further serve as a predicate device for a future 510(k) by any person for future devices of that type.</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application is required by statute to take between six to ten months, although the process typically takes longer, and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9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premarket application for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with a therapeutic product. The draft guidance describes principles to guide the development and contemporaneous marketing authorization for the therapeutic product and its corresponding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w:t>
      </w:r>
    </w:p>
    <w:p>
      <w:pPr>
        <w:spacing w:after="0" w:line="18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Once cleared or approved, the companion diagnostic device must adhere to post-marketing requirements including the requirements of the FDA’s quality system regulation, adverse event reporting, recalls and corrections along with product marketing requirements and limitations. Like biological product manufacturers, companion diagnostic manufacturers are subject to unannounced FDA inspections at any time during which the FDA will conduct an audit of the product(s) and the company’s facilities for compliance with its authorities.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Union/Rest of World Government Regulation</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must be submitted for each clinical protocol to each country’s national health authority and an independent ethics committee, much like the FDA and IRB, respectively. Under the EU Clinical Trials Regulation, this is now done through a single application submitted through the Clinical Trials Information System (CTIS), as described in more detail below.</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 medicinal product under European Union regulatory systems, we must submit a marketing authorization application. The content of the BLA filed in the U.S. is similar to that required in the European Union, with the exception of, among other things, country-specific document requirements.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product licensing, pricing, and reimbursement vary from country to country.</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Countries that are part of the European Union, as well as countries outside of the European Union, have their own governing bodies, requirements, and processes with respect to the approval of biological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Trial Approval in the European Union</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April 2014, the European Union adopted the Clinical Trials Regulation (EU) No 536/2014, which replaced the Clinical Trials Directive 2001/20/EC on January 31, 2022. The Clinical Trials Regulation is directly applicable in all European Union Member States meaning no national implementing legislation in each European Union Member State is required. The Clinical Trials Regulation aims to simplify and streamline the approval of clinical trials in the European Union. The main characteristics of the regulation include: a streamlined application procedure via a single-entry point, through the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Marketing Authorization Procedures in the European Union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Medicines can be authorized in the European Union by using either the centralized authorization procedure or national authorization procedures.</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European Commission implemented the centralized procedure for the approval of human medicines to facilitate marketing authorizations that are valid throughout the European Economic Area, or the EEA, which is comprised of the Member States of the European Union plus Norway, Iceland, and Lichtenstein. The centralized procedure is administered by the European Medicines Agency, EMA and is compulsory for human medicines that are: derived from certain biotechnology processes, such as genetic engineering, contain a new active substance indicated for the treatment of certain diseases, such as HIV, AIDS, cancer, diabetes, neurodegenerative disorders or autoimmune diseases and other immune dysfunctions, advanced therapy medicines (gene therapy, somatic cell therapy or tissue-engineered medicines), and officially designated orphan medicines.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medicines that do not fall within these categories, an applicant has the option of submitting an application for a centralized marketing authorization to the EMA, as long as the medicine concerned contains a new active substance not yet authorized in the European Union, is a significant therapeutic, scientific or technical innovation, or if its authorization would be in the interest of public health in the European Union.</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or the CHMP, is responsible for conducting the initial assessment of a product and for several post-authorization and maintenance activities, such as the assessment of modifications or extensions to an existing marketing authorization. 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clock stops, but it is possible that the CHMP can revert to the standard time limit for the centralized procedure if it considers that it is no longer appropriate to conduct an accelerated assessment.</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Pediatric Committee of the EMA, or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European Union, innovative medicinal products approved on the basis of a complete and independent data package qualify for eight years of data exclusivity upon marketing authorization and an additional two years of market exclusivity. This data exclusivity, if granted, prevents regulatory authorities in the European Union from referencing the innovator’s pre-clinical and clinical trial data contained in the dossier of the reference product when applying for a generic or biosimilar marketing authorization in the European Union, during a period of eight years from the date on which the reference product was first authorized in the European Union.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During an additional two-year period of market exclusivity, a generic or biosimilar marketing authorization application can be submitted and authorized, and the innovator’s data may be referenced, but no generic or biosimilar medicinal product can be placed on the European Union market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 marketing authorization application with a complete and independent data package of pharmaceutical tests, preclinical tests and clinical trials.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European Union law.</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aforementioned European Union rules are generally applicable in the EEA.</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UK formally left the European Union on January 31, 2020, and the European Union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currently continues to apply in Northern Ireland). The regulatory regime in Great Britain therefore aligns in many ways with current European Union regulations, however it is likely that these regimes will diverge significantly in the future now that Great Britain’s regulatory system is independent from the European Union and the TCA does not provide for mutual recognition of UK and European Union pharmaceutical legislation. However, notwithstanding that there is no wholesale recognition of European Union pharmaceutical legislation under the TCA, under a new international recognition procedure which was put in place by the MHRA on January 1, 2024, the MHRA may take into account decisions on the approval of a marketing authorization from the EMA (and certain other regulators) when considering an application for a Great Britain marketing authorization.</w:t>
      </w:r>
    </w:p>
    <w:p>
      <w:pPr>
        <w:spacing w:after="0" w:line="19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government and the European Union will enact legislative measures to bring it into law. On June 9, 2023, the MHRA announced that the medicines aspects of the Windsor Framework will apply from January 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U.S. and foreign markets, sales of any products for which we may receive regulatory approval for commercial sale will depend in part on the availability of coverage and reimbursement for our products from third-party payors, such as government healthcare programs (e.g., Medicare, Medicaid), managed care organizations, private health insurers, health maintenance organizations, and other organizations. These third-party payors decide which medications they will pay for and will establish reimbursement levels. The availability of coverage and extent of reimbursement by governmental and other third-party payors is essential for patients depending on government or commercial insurance to pay for the costs of prescription medications and other medical products.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U.S., the principal decisions about reimbursement for new medicines are typically made by the CMS, an agency within the HHS. CMS decides whether and to what extent products will be covered and reimbursed under Medicare and private payors tend to follow CMS to a substantial degree. Third-party payors may also limit coverage to specific products on an approved list, or formulary, which might not include all of the FDA-approved products for a particular indication.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payors consider in determining reimbursement are based on whether the product is:</w:t>
      </w:r>
    </w:p>
    <w:p>
      <w:pPr>
        <w:spacing w:after="0" w:line="131"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will depend in part on the extent to which coverage and adequate reimbursement for these products and related treatments will be available from third-party payors, including government healthcare programs (e.g., Medicare, Medicaid), managed care organizations, private health insurers, health maintenance organizations, and other organizations. Moreover, a payor’s decision to provide coverage for a drug product does not imply that an adequate reimbursement rate will be approved.</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drug products exists among third-party payors. Therefore, coverage and reimbursement for drug products can differ significantly from payor to payor. One payor’s determination to provide coverage for a product does not assure that other payors will also provide coverage and reimbursement for the product, and the level of coverage and reimbursement can differ significantly from payor to payor. Third-party payors are increasingly challenging pharmaceutical prices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utilization once the product is approved and have a material adverse effect on sales, our operations and financial condition.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 the process for determining whether a payor will provide coverage for a product may be separate from the process for setting the reimbursement rate that the payor will pay for the product. A payor’s decision to provide coverage for a drug product does not imply that an adequate reimbursement rate will be approved. Even if we obtain coverage for a given product, the resulting reimbursement payment rates might not be adequate for us to achieve or sustain profitability or may require co-payments that patients find unacceptably high.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impacted by any future relaxation of laws that presently restrict imports of drugs from countries where they may be sold at lower prices than in the U.S. In addition, many pharmaceutical manufacturers must calculate and report certain price reporting metrics to the government, such as average sales price and best price. Penalties may apply in some cases when such metrics are not submitted accurately and timely.</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third-party payors fail to provide adequate coverage and reimbursement. In addition, emphasis on managed care in the U.S. has increased and could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drug products for which we obtain marketing approval. Arrangements with third-party payors, healthcare providers and physicians, as well as patients and other third parties, in connection with the clinical research, sales, marketing and promotion of products, once approved, and related activities, may expose a pharmaceutical manufacturer to broadly applicable fraud and abuse and other healthcare laws and regulations. In the U.S., these laws include, without limitation, state and federal anti-kickback, false claims, transparency, consumer protection, and patient data privacy and security laws and regulations, including but not limited to those described below:</w:t>
      </w:r>
    </w:p>
    <w:p>
      <w:pPr>
        <w:spacing w:after="0" w:line="93" w:lineRule="exact"/>
        <w:rPr>
          <w:sz w:val="20"/>
          <w:szCs w:val="20"/>
          <w:color w:val="auto"/>
        </w:rPr>
      </w:pPr>
    </w:p>
    <w:p>
      <w:pPr>
        <w:jc w:val="both"/>
        <w:ind w:left="1080" w:hanging="532"/>
        <w:spacing w:after="0" w:line="253"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or AKS, makes it illegal for any person or entity,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in whole or in part, under a federal healthcare program, such as the Medicare and Medicaid programs. The term “remuneration” has been broadly interpreted to include anything of value. The AKS has been interpreted to apply to arrangements between pharmaceutical manufacturers on one hand and prescribers, purchasers, patients, and formulary managers on the other. A person or entity does not need to have actual knowledge of the statute or specific intent to violate it in order to have committed a violation. Further, courts have found that if “one purpose” of remuneration is to induce referrals, the AKS is violated. In addition, the government may assert that a claim including items or services resulting from a violation of the AKS constitutes a false or fraudulent claim for purposes of the federal False Claims Act, or FCA.</w:t>
      </w:r>
    </w:p>
    <w:p>
      <w:pPr>
        <w:spacing w:after="0" w:line="99"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impose criminal and civil penalties against individuals or entities for, among other things, knowingly presenting, or causing to be presented, claims for payment or approval from Medicare, Medicaid, or other federal or state health care programs that are false or fraudulent; knowingly making or causing a false statement material to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0"/>
        <w:spacing w:after="0" w:line="254" w:lineRule="auto"/>
        <w:rPr>
          <w:sz w:val="20"/>
          <w:szCs w:val="20"/>
          <w:color w:val="auto"/>
        </w:rPr>
      </w:pPr>
      <w:r>
        <w:rPr>
          <w:rFonts w:ascii="Times New Roman" w:cs="Times New Roman" w:eastAsia="Times New Roman" w:hAnsi="Times New Roman"/>
          <w:sz w:val="18"/>
          <w:szCs w:val="18"/>
          <w:color w:val="auto"/>
        </w:rPr>
        <w:t>false or fraudulent claim or an obligation to pay or transmit money or property to the federal government; or knowingly concealing or knowingly and improperly avoiding or decreasing such an obligation. The FCA also permits a private individual acting as a whistleblower to bring actions on behalf of the federal government alleging violations of the FCA and to share in any monetary recovery. Manufacturers can be held liable under the federal False Claims Act even when they do not submit claims directly to government payors if they are deemed to “cause” the submission of false or fraudulent claims. Pharmaceutical and other healthcare companies have been, and continue to be, prosecuted under these laws, among other things, for allegedly providing kickbacks to providers or patients or causing false claims to be submitted because of the companies’ marketing of the product for unapproved, off-label, and thus generally non-reimbursable, uses. Similar to the AKS, a person or entity does not need to have actual knowledge of these statutes or specific intent to violate them in order to have committed a violation.</w:t>
      </w:r>
    </w:p>
    <w:p>
      <w:pPr>
        <w:spacing w:after="0" w:line="94" w:lineRule="exact"/>
        <w:rPr>
          <w:sz w:val="20"/>
          <w:szCs w:val="20"/>
          <w:color w:val="auto"/>
        </w:rPr>
      </w:pPr>
    </w:p>
    <w:p>
      <w:pPr>
        <w:jc w:val="both"/>
        <w:ind w:left="1080" w:hanging="532"/>
        <w:spacing w:after="0" w:line="261"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which covers a variety of conduct, often violations under other laws, and includes penalties for violating the AKS, causing the submission of false claims, and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5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of 2009, or HITECH, and their respective implementing regulations, imposes criminal and civil liability for knowingly and willfully executing, or attempting to execute, a scheme to defraud any healthcare benefit program (e.g., public or private) or making any false, fictitious or fraudulent statements in connection with the delivery of, or payment for, healthcare benefits, items or services relating to healthcare matters. Like the AKS, the Patient Protection and Affordable Care Act, or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94"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also imposes requirements related to the privacy, security and transmission of individually identifiable health information that may apply to many healthcare providers, physicians, and third-party payors with whom we interact.</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which require manufacturers of drugs, devices, biologics and medical supplies for which payment is available under Medicare, Medicaid or the Children’s Health Insurance Program, with specific exceptions, to report annually to CMS, under the Open Payments Program, information related to payments or other transfers of value made to physicians (which has the same meaning as under Section 1861(r) of the Social Security Act, which generally includes doctors of medicine, osteopathy, dentists, optometrists, podiatrists and chiropractors who are legally authorized to practice by a state), to certain non-physician providers such as physician assistants and nurse practitioners, and to teaching hospitals, as well as ownership and investment interests held by physicians and their immediate family members.</w:t>
      </w:r>
    </w:p>
    <w:p>
      <w:pPr>
        <w:spacing w:after="0" w:line="94"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certain calculated product prices to the government or provide certain discounts or rebates to government authorities or private entities, often as a condition of reimbursement under governmental healthcare programs.</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broadly regulate marketplace activities and activities that potentially harm consumers.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spacing w:after="0" w:line="253" w:lineRule="auto"/>
        <w:rPr>
          <w:sz w:val="20"/>
          <w:szCs w:val="20"/>
          <w:color w:val="auto"/>
        </w:rPr>
      </w:pPr>
      <w:r>
        <w:rPr>
          <w:rFonts w:ascii="Times New Roman" w:cs="Times New Roman" w:eastAsia="Times New Roman" w:hAnsi="Times New Roman"/>
          <w:sz w:val="18"/>
          <w:szCs w:val="18"/>
          <w:color w:val="auto"/>
        </w:rPr>
        <w:t>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 The scope and enforcement of each of these laws is uncertain and subject to rapid change in the current environment of healthcare reform. In addition, commercialization of any drug product outside the U.S. will also likely be subject to foreign equivalents of the healthcare laws mentioned above, among other foreign laws.</w:t>
      </w:r>
    </w:p>
    <w:p>
      <w:pPr>
        <w:spacing w:after="0" w:line="19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the future. If our operations are found to be in violation of any of such laws or any other governmental regulations that apply to us, we may be subject to, on a corporate or individual basis, penalties, including civil and criminal penalties, damages, fines, the curtailment or restructuring of our operations, the exclusion from participation in federal and state healthcare programs and even imprisonment, any of which could materially adversely affect our ability to operate our business and our financial results. In addition, the cost of implementing sufficient systems, controls, and processes to ensure compliance with all of the aforementioned laws could be significant. Any action for violation of these laws, even if successfully defended, could cause us to incur significant legal expenses and divert management’s attention from the operation of the company’s business. If any of the physicians or other healthcare providers or entities with whom we expect to do business is found noncompliant with applicable laws, that person or entity may be subject to criminal, civil or administrative sanctions, including exclusions from government funded healthcare programs.</w:t>
      </w:r>
    </w:p>
    <w:p>
      <w:pPr>
        <w:spacing w:after="0" w:line="19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our business may be impaired.</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in a manner that is increasingly stringent and, globally, this legal and regulatory framework is likely to remain uncertain for the foreseeable future. In the U.S.,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a smaller number of states have passed or are considering laws governing the privacy of consumer health data. For example, Washington’s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These various privacy and data security laws may impact our business activities, including our identification of research subjects, relationships with business partners and ultimately the marketing and distribution of our products.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to the extent we collect personal information from individuals outside of the United States, through clinical trials or otherwise, we are, or may become, subject to foreign data privacy and security laws, such as the European Union’s General Data Protection Regulation 2016/679 (or EU GDPR) and other national data protection legislation in force in relevant EEA Member States, and the EU GDPR as it forms part UK law by virtue of section 3 of the European Union (Withdrawal) Act 2018 (or UK GDPR). Foreign privacy and data security laws impose significant and complex compliance obligations on entities that are subject to those laws, as more fully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U.S. Healthcare Reform Legislation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and innovative technologies, such as pharmaceutical products like ficerafusp alfa. In both the U.S. and certain foreign jurisdictions, there have been a number of legislative and regulatory changes to the health care system that could impact our ability to sell products profitably.</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By way of example, the U.S. and state governments continue to propose and pass legislation designed to reduce the cost of healthcare. In March 2010, the ACA, was enacted, which, among other things,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the Medicare Part D coverage gap discount program, in which manufacturers agree to provide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Current laws, as well as other healthcare reform measures that may be adopted in the future, may result in more rigorous coverage criteria and in additional downward pressure on the price for any approved products.</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and continue to be, numerous judicial, administrative, executive, and legislative challenges to certain aspects of the ACA, and there could be additional amendments to the ACA in the future. It is unclear whether the ACA will be overturned, repealed, replaced, or further amended. We cannot predict what effect further changes to the ACA would have on our business.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Additionally, there have been several U.S. congressional inquiries and proposed federal and proposed and enacted state legislation designed to, among other things, bring more transparency to drug pricing, review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relationship between pricing and manufacturer patient support programs, reduce the costs of drugs under Medicare and reform government program reimbursement methodologies for drug products. For example, on August 16, 2022, the Inflation Reduction Act of 2022, or IRA, was signed into law by President Biden. The IRA includes several provisions that may impact pharmaceutical companies to varying degrees, including provisions that create a $2,000 out-of-pocket cap for Medicare Part D beneficiaries; impose new manufacturer financial liability on all drugs in Medicare Part D; allow the U.S. government to negotiate Medicare Part B and Part D pricing caps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implementation of the IRA is currently subject to ongoing litigation that challenges the constitutionality of the IRA’s Medicare drug price negotiation program. The full impact of the IRA on our business and the pharmaceutical and healthcare industry in general is not yet known.</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As of August 1, 2024, we had 32 full-time employees and 28 consultants. Within our workforce, 18 employees are engaged in research and development and 14 are engaged in business development, finance, legal, and general management and administration. Our human capital resources objectives include identifying, recruiting, retaining, incentivizing and integrating our existing and new employees, advisors and consultants. None of our employees are represented by labor unions or covered by collective bargaining agreements. We consider our relationship with our employees to be good.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in Boston, Massachusetts, where we lease and occupy 4,617 square feet of office and laboratory space. The current term of our Boston lease expires on February 28, 2026 with an option to continue thereafter on a month to month basis unless terminated by either party upon written notice.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61"/>
        </w:trPr>
        <w:tc>
          <w:tcPr>
            <w:tcW w:w="360" w:type="dxa"/>
            <w:vAlign w:val="bottom"/>
            <w:tcBorders>
              <w:top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220" w:type="dxa"/>
            <w:vAlign w:val="bottom"/>
          </w:tcPr>
          <w:p>
            <w:pPr>
              <w:spacing w:after="0"/>
              <w:rPr>
                <w:sz w:val="5"/>
                <w:szCs w:val="5"/>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r>
      <w:tr>
        <w:trPr>
          <w:trHeight w:val="28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Mazumdar, Ph.D., M.B.A.</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35</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67"/>
        </w:trPr>
        <w:tc>
          <w:tcPr>
            <w:tcW w:w="3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Cohlhepp, Pharm.D.</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48</w:t>
            </w:r>
          </w:p>
        </w:tc>
        <w:tc>
          <w:tcPr>
            <w:tcW w:w="6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Chief Operating Officer</w:t>
            </w: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Ivan Hyep, M.B.A.</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40</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8"/>
        </w:trPr>
        <w:tc>
          <w:tcPr>
            <w:tcW w:w="3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Raben, M.D.</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61</w:t>
            </w:r>
          </w:p>
        </w:tc>
        <w:tc>
          <w:tcPr>
            <w:tcW w:w="6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Lara Meisner, J.D.</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52</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r>
      <w:tr>
        <w:trPr>
          <w:trHeight w:val="36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Nils Lonberg, Ph.D.</w:t>
            </w:r>
            <w:r>
              <w:rPr>
                <w:rFonts w:ascii="Times New Roman" w:cs="Times New Roman" w:eastAsia="Times New Roman" w:hAnsi="Times New Roman"/>
                <w:sz w:val="26"/>
                <w:szCs w:val="26"/>
                <w:color w:val="auto"/>
                <w:vertAlign w:val="superscript"/>
              </w:rPr>
              <w:t>(3)</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68</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Carolyn Ng, Ph.D.</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40</w:t>
            </w:r>
          </w:p>
        </w:tc>
        <w:tc>
          <w:tcPr>
            <w:tcW w:w="6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 Kuchroo, D.V.M., Ph.D.</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69</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68"/>
        </w:trPr>
        <w:tc>
          <w:tcPr>
            <w:tcW w:w="3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Kiran Mazumdar-Shaw</w:t>
            </w:r>
            <w:r>
              <w:rPr>
                <w:rFonts w:ascii="Times New Roman" w:cs="Times New Roman" w:eastAsia="Times New Roman" w:hAnsi="Times New Roman"/>
                <w:sz w:val="25"/>
                <w:szCs w:val="25"/>
                <w:color w:val="auto"/>
                <w:vertAlign w:val="superscript"/>
              </w:rPr>
              <w:t>(3)</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6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Heath Lukatch, Ph.D.</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57</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67"/>
        </w:trPr>
        <w:tc>
          <w:tcPr>
            <w:tcW w:w="3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Jake Simson, Ph.D.</w:t>
            </w:r>
            <w:r>
              <w:rPr>
                <w:rFonts w:ascii="Times New Roman" w:cs="Times New Roman" w:eastAsia="Times New Roman" w:hAnsi="Times New Roman"/>
                <w:sz w:val="25"/>
                <w:szCs w:val="25"/>
                <w:color w:val="auto"/>
                <w:vertAlign w:val="superscript"/>
              </w:rPr>
              <w:t>(3)</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38</w:t>
            </w:r>
          </w:p>
        </w:tc>
        <w:tc>
          <w:tcPr>
            <w:tcW w:w="6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51"/>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Haviland, M.B.A.</w:t>
            </w:r>
            <w:r>
              <w:rPr>
                <w:rFonts w:ascii="Times New Roman" w:cs="Times New Roman" w:eastAsia="Times New Roman" w:hAnsi="Times New Roman"/>
                <w:sz w:val="26"/>
                <w:szCs w:val="26"/>
                <w:color w:val="auto"/>
                <w:vertAlign w:val="superscript"/>
              </w:rPr>
              <w:t>(2)</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48</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Robertson, M.B.A.</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45</w:t>
            </w:r>
          </w:p>
        </w:tc>
        <w:tc>
          <w:tcPr>
            <w:tcW w:w="6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6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Powell</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69</w:t>
            </w:r>
          </w:p>
        </w:tc>
        <w:tc>
          <w:tcPr>
            <w:tcW w:w="6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Chairperson of the Board</w:t>
            </w: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Bowden</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63</w:t>
            </w:r>
          </w:p>
        </w:tc>
        <w:tc>
          <w:tcPr>
            <w:tcW w:w="6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Claire Mazumdar, Ph.D.</w:t>
      </w:r>
      <w:r>
        <w:rPr>
          <w:rFonts w:ascii="Times New Roman" w:cs="Times New Roman" w:eastAsia="Times New Roman" w:hAnsi="Times New Roman"/>
          <w:sz w:val="18"/>
          <w:szCs w:val="18"/>
          <w:color w:val="auto"/>
        </w:rPr>
        <w:t>, M.B.A, has served as our Chief Executive Officer and as a member of our board of directors since January 2020.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Bicara, Dr. Mazumdar was Head of Business Development and Corporate Strategy at Rheos Medicines, Inc. a biopharmaceutical company, from August 2017 to December 2019, which culminated in a large multi-target discovery partnership with Roche. Previously, Dr. Mazumdar as an investment professional at Third Rock Ventures, LLC, or Third Rock, a life sciences venture capital firm, from July 2017 to July 2019. Dr. Mazumdar received a BS in Biological Engineering from Massachusetts Institute of Technology, a Ph.D. in Cancer Biology from Stanford School of Medicine, and an M.B.A. from Stanford Graduate School of Business. Dr. Mazumdar is the niece of Kiran Mazumdar-Shaw, a member of our board of directors. We believe Dr. Mazumdar’s senior management experience in the biopharmaceutical industry make her well qualified to serve on our board of directors.</w:t>
      </w:r>
    </w:p>
    <w:p>
      <w:pPr>
        <w:spacing w:after="0" w:line="18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Ryan Cohlhepp, Pharm.D.</w:t>
      </w:r>
      <w:r>
        <w:rPr>
          <w:rFonts w:ascii="Times New Roman" w:cs="Times New Roman" w:eastAsia="Times New Roman" w:hAnsi="Times New Roman"/>
          <w:sz w:val="18"/>
          <w:szCs w:val="18"/>
          <w:color w:val="auto"/>
        </w:rPr>
        <w:t>, has served as our President and Chief Operating Officer since October 2020, and served as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from December 2020 to March 2023. Prior to Bicara, Dr. Cohlhepp was Senior Vice President R&amp;D Strategy and Operations at Rheos Medicines, Inc., a</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biopharmaceutical company, from March 2018 to October 2020. Dr. Cohlhepp received a Pharm.D. from Purdue University. Immediately prior to the effectiveness of the registration statement of which this prospectus forms part, Dr. Cohlhepp will be re-appointed as a member of our board of directors.</w:t>
      </w:r>
    </w:p>
    <w:p>
      <w:pPr>
        <w:spacing w:after="0" w:line="158"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Ivan Hyep, M.B.A</w:t>
      </w:r>
      <w:r>
        <w:rPr>
          <w:rFonts w:ascii="Times New Roman" w:cs="Times New Roman" w:eastAsia="Times New Roman" w:hAnsi="Times New Roman"/>
          <w:sz w:val="18"/>
          <w:szCs w:val="18"/>
          <w:color w:val="auto"/>
        </w:rPr>
        <w:t>, has served as our Chief Financial Officer since March 2021. Prior to joining Bicara Therapeutics, Mr. Hyep was the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Finance of MOMA Therapeutics, Inc., a biotechnology company, from July 2019 to March 2021. Previously, Mr. Hyep as an investment professional at Third Rock, a life sciences venture capital firm, from January 2016 to March 2021. Previously, Mr. Hyep was a Financing Manager at Bain Capital, LP, a private investment firm, from July 2006 to January 2016. Mr. Hyep holds a BS in Finance from Bentley University and received his M.B.A. from Boston University.</w:t>
      </w:r>
    </w:p>
    <w:p>
      <w:pPr>
        <w:spacing w:after="0" w:line="17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David Raben, M.D.</w:t>
      </w:r>
      <w:r>
        <w:rPr>
          <w:rFonts w:ascii="Times New Roman" w:cs="Times New Roman" w:eastAsia="Times New Roman" w:hAnsi="Times New Roman"/>
          <w:sz w:val="18"/>
          <w:szCs w:val="18"/>
          <w:color w:val="auto"/>
        </w:rPr>
        <w:t>, has served as our Chief Medical Officer since July 2023, having consulted for us from May 2023 to July 2023.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Raben was Vice President of late-stage product development at Amgen Inc., a biotechnology company, from November 2021 to May 2023, where he led the recently FDA-approved Tarlatamab program for SCLC. Before that, he was Vice President of late-stage product development for lung, skin, head and neck cancer (HNC) at Genentech, Inc., a biotechnology company, from September 2019 to June 2021. He also served as a Professor of Radiation Oncology at the University of Colorado Health from May 1998 to September 2019. Dr. Raben is a board-certified radiation oncologist with a career focused on investigating novel biologic strategies against growth factor signaling and immunosuppression for patients advanced lung and HNC. He earned a BA in Psychology from Duke University in 1985, an M.D. from the Bowman Gray School of Medicine at Wake Forest University in 1990 and completed his residency at the Johns Hopkins Hospital in 1994.</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Lara S. Meisner, J.D</w:t>
      </w:r>
      <w:r>
        <w:rPr>
          <w:rFonts w:ascii="Times New Roman" w:cs="Times New Roman" w:eastAsia="Times New Roman" w:hAnsi="Times New Roman"/>
          <w:sz w:val="18"/>
          <w:szCs w:val="18"/>
          <w:color w:val="auto"/>
        </w:rPr>
        <w:t>., has served as our Chief Legal Officer since November 2023 and Corporate Secretary since December 2023.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Bicara, Ms. Meisner served as the Chief Legal Officer, Compliance Officer, and Corporate Secretary at Viridian Therapeutics, Inc. (NASDAQ: VRDN), a biotechnology company, from December 2020 to November 2023. From February 2017 to November 2020, Ms. Meisner held roles of increasing responsibility at Catabasis Pharmaceuticals, Inc. (now Astria Therapeutics, Inc. (NASDAQ: ATXS)), a biopharmaceutical company, most recently as the VP, Legal, and Corporate Secretary. Ms. Meisner received her J.D. from Temple University Beasley School of Law and her BA in Spanish and Communications from the University of Michigan.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Nils Lonberg, Ph.D.</w:t>
      </w:r>
      <w:r>
        <w:rPr>
          <w:rFonts w:ascii="Times New Roman" w:cs="Times New Roman" w:eastAsia="Times New Roman" w:hAnsi="Times New Roman"/>
          <w:sz w:val="18"/>
          <w:szCs w:val="18"/>
          <w:color w:val="auto"/>
        </w:rPr>
        <w:t>, has served as a member of our board of directors since April 2019 and was previously the Chairperson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until August 2024. Dr. Lonberg currently serves as an Executive in Residence at Canaan Partners, a venture capital firm, where he has been employed since May 2019 and where he focuses on investments in life science companies. Prior to Canaan Partners, Dr. Lonberg served as Vice President, Oncology Discovery Biology, at Bristol-Myers Squibb Co., a biopharmaceutical company, where he led drug discovery efforts for both targeted and immuno-oncology agents, from September 2009 to April 2019. Dr. Lonberg also serves on the boards of directors of various private companies. Dr. Lonberg received his Ph.D. in Biochemistry and Molecular Biology from Harvard University. He was a postdoctoral fellow at Memorial Sloan Kettering Cancer Center and was elected to the National Academy of Engineering in 2015. We believe Dr. Lonberg’s extensive executive, managerial and business experience with life sciences companies qualifies him to serve on our board of directors.</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Carolyn Ng, Ph.D.</w:t>
      </w:r>
      <w:r>
        <w:rPr>
          <w:rFonts w:ascii="Times New Roman" w:cs="Times New Roman" w:eastAsia="Times New Roman" w:hAnsi="Times New Roman"/>
          <w:sz w:val="18"/>
          <w:szCs w:val="18"/>
          <w:color w:val="auto"/>
        </w:rPr>
        <w:t>, has served as a member of our board of directors since December 2023. Dr. Ng currently serves as is a Partner and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at TPG Life Sciences Innovations, or TPG, a global investment firm, based in San Francisco, where she leads investments into transformative companies in different therapeutic areas since October 2021. Prior to joining TPG, Dr. Ng was a Managing Director at Vertex Ventures HC, a global healthcare and life sciences venture fund, where she joined in February 2015 and was promoted through various roles to be the co-Head of the investment team from June 2017 to September 2021. Dr. Ng currently serves on the board of directors of numerous private life sciences companies and previously served on the board of directors of several public companies, including Bicycle Therapeutics PLC (NASDAQ: BCYC), a</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biotechnology company, from June 2017 until August 2020, and Boundless Bio, Inc. (NASDAQ: BOLD), a clinical-stage oncology company, from June 2019 to September 2021. Dr. Ng holds a PhD in Cancer Molecular Biology from the National University of Singapore, where she was the recipient of the prestigious NGS, Integrative Sciences and Technology, PhD scholarship and holds a B.S. degree in Pharmacy with first class honors from the National University of Singapore. We believe Dr. Ng’s extensive experience as an investor in and a member of the board of directors of numerous life sciences companies qualifies her to serve on our board of directors.</w:t>
      </w:r>
    </w:p>
    <w:p>
      <w:pPr>
        <w:spacing w:after="0" w:line="17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Vijay Kuchroo, D.V.M., Ph.D.</w:t>
      </w:r>
      <w:r>
        <w:rPr>
          <w:rFonts w:ascii="Times New Roman" w:cs="Times New Roman" w:eastAsia="Times New Roman" w:hAnsi="Times New Roman"/>
          <w:sz w:val="18"/>
          <w:szCs w:val="18"/>
          <w:color w:val="auto"/>
        </w:rPr>
        <w:t>, has served as a member of our board of directors since December 2018 and was previously the Chairperson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until December 2023. Dr. Kuchroo currently serves as a the Samuel L. Wasserstrom Professor of Neurology at Harvard Medical School, an academic institution, since May 2005. Dr. Kuchroo has also been serving as a Director of the Gene Lay Institute of Immunology and Inflammation, a research institute, since June 2023. Dr. Kuchroo also serves on the boards of directors of Syngene International Ltd. (XNSE: SYNGENE), a life sciences company, since March 2017. Dr. Kuchroo received his BVSc at the College of Veterinary Medicine at Haryana Agricultural University in Hisar, India. Additionally, he received his Ph.D. at Department of Pathology and Public Health at University of Queensland. We believe Dr. Kuchroo’s strong scientific and academic background and business experience with life sciences companies qualifies him to serve on our board of directors. Dr. Kuchroo has notified us that he will resign from our board of directors immediately prior to the effectiveness of the registration statement of which this prospectus forms a part. Dr. Kuchroo’s resignation is not due to any disagreement with the Company or any matters relating to our operations, policies or practices.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Kiran Mazumdar-Shaw </w:t>
      </w:r>
      <w:r>
        <w:rPr>
          <w:rFonts w:ascii="Times New Roman" w:cs="Times New Roman" w:eastAsia="Times New Roman" w:hAnsi="Times New Roman"/>
          <w:sz w:val="18"/>
          <w:szCs w:val="18"/>
          <w:color w:val="auto"/>
        </w:rPr>
        <w:t>has served as a member of our board of directors since December 2018. Ms. Mazumdar-Shaw founded Biocon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innovation-led global biopharmaceuticals company, in 1978 and has served as the Executive Chairperson since November 1978. Additionally, Ms. Mazumdar-Shaw has served as the Executive Chairperson of Biocon Biologics limited, a unique, fully integrated, global biosimilars company since January 2021. She is also serving as the Non-Executive Chairperson of Syngene International Limited, an innovation-led contract research, development and manufacturing organization since April 2020. Ms Mazumdar-Shaw also serves on the boards of directors of various private companies, educational institutions and holds key positions in certain governmental bodies. Ms. Mazumdar-Shaw holds a B.Sc Honours degree in Zoology from Central College, Bangalore University and Post-Graduate in Malting and Brewing from Ballarat College, Melbourne University. She also has many honorary degrees from several renowned international universities. Ms. Mazumdar-Shaw is the aunt of our Chief Executive Officer Dr. Claire Mazumdar. We believe Ms. Mazumdar-Shaw’s prolific experience as a pioneering biotech entrepreneur and healthcare visionary qualifies her to serve on our board of directors.</w:t>
      </w:r>
    </w:p>
    <w:p>
      <w:pPr>
        <w:spacing w:after="0" w:line="18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Heath S. Lukatch, Ph.D. </w:t>
      </w:r>
      <w:r>
        <w:rPr>
          <w:rFonts w:ascii="Times New Roman" w:cs="Times New Roman" w:eastAsia="Times New Roman" w:hAnsi="Times New Roman"/>
          <w:sz w:val="18"/>
          <w:szCs w:val="18"/>
          <w:color w:val="auto"/>
        </w:rPr>
        <w:t>has served as a member of our board of directors since August 2023. Since March 2020, Dr. Lukatch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Managing Partner of Red Tree Venture Capital, a privately held life sciences venture capital firm. Prior to founding Red Tree Venture Capital, from May 2015 to March 2020, Dr. Lukatch worked at TPG, where he was Partner, Managing Director and Life Sciences Investment Team Leader in TPG’s Biotech, Growth and RISE platforms. In April 2006, Dr. Lukatch co-founded Novo Ventures (US) Inc.’s San Francisco office, a venture capital firm, where he was a Partner through April 2015. Dr. Lukatch is currently a member of the board of directors Vaxcyte, Inc. (NASDAQ: PCVX), a biotechnology company, since May 2018 and also serves on the boards of directors of various private companies. Previously, Dr. Lukatch served on the board of Cargo Therapeutics, Inc. (NASDAQ: CRGX), a biotechnology company, from January 2021 to November 2023, Satsuma Pharmaceuticals, Inc. (NASDAQ: STSA), a pharmaceutical company, from December 2016 to June 2023, Inogen, Inc. (NASDAQ: INGN), a medical technology company, from December 2006 to March 2022, and Flexion Therapeutics, Inc. (NASDAQ: FLXN), a biopharmaceutical company from December 2012 to November 2021, when it was acquired by Pacira BioSciences, Inc., and several other private companies. Dr. Lukatch received his Ph.D. in Neuroscience from Stanford University and his B.A. in Biochemistry from the University of California at Berkeley. We believe Dr. Lukatch is qualified to serve on our board of directors due to his educational background, his experience serving as a director for several private and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public biopharmaceutical and healthcare companies and his experience in the life sciences investment industry. Dr. Lukatch has notified us that he will resign from our board of directors immediately prior to the effectiveness of the registration statement of which this prospectus forms a part. Dr. Lukatch’s resignation is not due to any disagreement with the Company or any matters relating to our operations, policies or practices.</w:t>
      </w:r>
    </w:p>
    <w:p>
      <w:pPr>
        <w:spacing w:after="0" w:line="17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Jake Simson, Ph.D.</w:t>
      </w:r>
      <w:r>
        <w:rPr>
          <w:rFonts w:ascii="Times New Roman" w:cs="Times New Roman" w:eastAsia="Times New Roman" w:hAnsi="Times New Roman"/>
          <w:sz w:val="18"/>
          <w:szCs w:val="18"/>
          <w:color w:val="auto"/>
        </w:rPr>
        <w:t>, has served as a member of our board of directors since March 2023. Since December 2020, Dr. Simson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of RA Capital Management, L.P., a life sciences investment advisor. Dr. Simson previously served as an associate, analyst and principal at RA Capital Management, L.P. from July 2013 to December 2020. Dr. Simson serves as a member of the board of directors of Tyra Biosciences Inc, a public biotechnology company (NASDAQ GS: TYRA) and Janux Therapeutics, Inc, a public biopharmaceutical company (NASDAQ: JANX). Dr. Simson also served on the board of directors of DICE Therapeutics, Inc., a biotechnology company (NASDAQ: DICE) or DICE, from December 2020 until it was acquired by Eli Lilly and Company in August. Dr. Simson also serves on the boards of directors of various private companies. Dr. Simson received his Ph.D. in Biomedical Engineering from Johns Hopkins University and his S.B. in Materials Science and Engineering from Massachusetts Institute of Technology. We believe Dr. Simson is qualified to serve on our board of directors due to his experience serving as a director for several private and public life science companies and his experience in the life sciences investment industry.</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Kate Haviland, M.B.A</w:t>
      </w:r>
      <w:r>
        <w:rPr>
          <w:rFonts w:ascii="Times New Roman" w:cs="Times New Roman" w:eastAsia="Times New Roman" w:hAnsi="Times New Roman"/>
          <w:sz w:val="18"/>
          <w:szCs w:val="18"/>
          <w:color w:val="auto"/>
        </w:rPr>
        <w:t>, has served as a member of our board of directors since September 2023. Since April 2022, Ms. Haviland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of Blueprint Medicines Corporation (NASDAQ: BPMC), a public biopharmaceutical company, and previously served as the Chief Operating Officer from January 2019 to April 2022, and as the Chief Business Officer from January 2016 to January 2019. Prior to joining Blueprint, Ms. Haviland served as vice president, rare diseases and oncology program leadership at Idera Pharmaceuticals, Inc. (acquired by Aceragen, Inc.), a biopharmaceutical company, from April 2014 to December 2015, as head of commercial development at Sarepta Therapeutics, Inc. (NASDAQ: SRPT), a public biopharmaceutical and drug development company, from June 2012 to April 2014, as executive director of commercial development at PTC Therapeutics, Inc. (NASDAQ: PTCT), a public biopharmaceutical company, from March 2007 to June 2012, and roles in corporate development and project management at Genzyme, Inc. (acquired by Sanofi, Inc. (NASDAQ: SNY), a global healthcare company) from July 2005 to April 2007. Ms. Haviland currently serves on the board of directors of Fulcrum Therapeutics, Inc. (NASDAQ: FULC), a public biopharmaceutical company. Ms. Haviland holds a B.A. from Wesleyan University with a double major in Molecular Biology/Biochemistry and Economics and an M.B.A. from Harvard Business School. We believe Ms. Haviland is qualified to serve on our board of directors because she is a biotech President and Chief Executive Officer and experienced as a public company board member in the life science industry.</w:t>
      </w:r>
    </w:p>
    <w:p>
      <w:pPr>
        <w:spacing w:after="0" w:line="19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Scott Robertson, M.B.A.</w:t>
      </w:r>
      <w:r>
        <w:rPr>
          <w:rFonts w:ascii="Times New Roman" w:cs="Times New Roman" w:eastAsia="Times New Roman" w:hAnsi="Times New Roman"/>
          <w:sz w:val="18"/>
          <w:szCs w:val="18"/>
          <w:color w:val="auto"/>
        </w:rPr>
        <w:t>, has served as a member of our board of directors since September 2023. Mr. Robertson currently serves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and Chief Business Officer of Star Therapeutics LLC, a biotechnology company, since January 2024. Mr. Robertson also served as the Chief Financial Officer and Chief Business Officer of DICE from July 2021 to December 2023, the Chief Financial Officer from December 2017 to July 2021, and as the Vice President, Business Development &amp; Strategic Planning from April 2016 to December 2017, prior to acquisition by Eli Lilly and Company in August 2023. In addition, he currently serves as a Lecturer at the Haas School of Business at the University of California, Berkeley and previously served as a member of the board of directors of Hexima Limited (ASX:HXL), a biotechnology company, from December 2018 to September 2023. Mr. Robertson received his B.S. in Business Administration from the University of Southern California and his M.B.A. from the Haas School of Business at the University of California, Berkeley. We believe Mr. Robertson’s extensive executive and business experience with life sciences companies qualifies him to serve on our board of directors.</w:t>
      </w:r>
    </w:p>
    <w:p>
      <w:pPr>
        <w:spacing w:after="0" w:line="188"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Powell, </w:t>
      </w:r>
      <w:r>
        <w:rPr>
          <w:rFonts w:ascii="Times New Roman" w:cs="Times New Roman" w:eastAsia="Times New Roman" w:hAnsi="Times New Roman"/>
          <w:sz w:val="18"/>
          <w:szCs w:val="18"/>
          <w:color w:val="auto"/>
        </w:rPr>
        <w:t>has served as a member and as the Chairperson of our board of directors since August 2024. Since August 2021, Dr. Powell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an Executive Partner of Omega Funds, a venture capital firm that invests in life sciences companies. Previously, he was a General Partner at Sofinnova Investments, a biopharmaceutical investment firm, from August 1997 until June 2021. Dr. Powell currently serves as a member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of the board of directors of Galera Therapeutics, Inc. (NASDAQ: GRTX), a biopharmaceutical company, since November 2016 and previously served as the chair and as member of the board of directors of Checkmate Pharmaceuticals, Inc. (NASDAQ: CMPI), a biopharmaceutical company, from July 2015 to May 2022. Dr. Powell has also served on the boards of directors of several private companies. Dr. Powell holds a Ph.D. in Physical Chemistry from the University of Toronto and he completed post-doctoral studies in Bioorganic Chemistry at the University of California as a National Science and Engineering Research Council Scholar. We believe Dr. Powell’s extensive experience in the life sciences investment industry qualifies him to serve on our board of directors.</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Bowden, </w:t>
      </w:r>
      <w:r>
        <w:rPr>
          <w:rFonts w:ascii="Times New Roman" w:cs="Times New Roman" w:eastAsia="Times New Roman" w:hAnsi="Times New Roman"/>
          <w:sz w:val="18"/>
          <w:szCs w:val="18"/>
          <w:color w:val="auto"/>
        </w:rPr>
        <w:t>has served as a member of our board of directors since August 2024. Since March 2023, Dr. Bowden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Medical Officer of Remix Therapeutics, Inc., or Remix Therapeutics, a biotechnology company. Prior to March 2023, Dr. Bowden served as a Strategic Advisor to Agios Pharmaceuticals, Inc., a biopharmaceutical company from September 2021 to March 2023. Dr. Bowden has also served as a Clinical Consultant since October 2021 for an array of biotechnology companies and venture funds, including Rivus Pharmaceutics, Inc., a pharmaceutical company from October 2021 to February 2023, Pyramid Biosciences, Inc., a biotechnology company from December 2021 to July 2022, and Remix Therapeutics from March 2022 to March 2023. Previously, he was the Chief Medical Officer of Agios Pharmaceuticals, Inc., a biopharmaceutical company, from May 2014 to September 2021. From October 2019 until March 2023, Dr. Bowden served as a member of the board of directors of Alaunos Therapeutics, Inc. (NASDAQ: TCRT), a pharmaceutical company and from August 2017 until October 2020, Dr. Bowden served as a member of the board of directors of Miragen Therapeutics, Inc., currently Viridian Therapeutics, Inc. (NASDAQ: VRDN), a biotechnology company. Dr. Bowden also serves on the boards of directors of various private companies. Dr. Bowden received his M.D. from Hahnemann University School of Medicine followed by internal medicine training at Roger Williams Medical Center and the Providence VA Medical Center, Rhode Island. He completed his medical oncology fellowship at the National Cancer Institute Medicine Branch. Dr. Bowden is board certified in internal medicine and medical oncology. We believe Dr. Bowden’s extensive leadership and medical experience in the life sciences industry qualifies him to serve on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current board consists of eleven (11) members, each of whom are members pursuant to the board composition provisions of our second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fifth amended and restated certificate of incorporation that will become effective immediately prior to the closing of this offering and amended and restated bylaws that will become effective upon the effectiveness of the registration statement of which this prospectus is a part,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Claire Mazumdar Ph.D., and Ryan Cohlhepp Pharm.D., who will be appointed to our board of directors as of immediately prior to the effectiveness of the registration statement of which this prospectus forms part, are independent directors, including for purposes of the rules of the Nasdaq Global Market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Dr. Mazumdar is the niece of Ms. Mazumdar-Shaw, otherwise, there are no family relationships among any of our directors or executive officers. Dr. Mazumdar is not an independent director under these rules because she is the Chief Executive Officer of the Company. Dr. Cohlhepp will not be an independent director under these rules because he is the President and Chief Operating Officer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the terms of our fifth amended and restated certificate of incorporation that will become effective immediately prior to the closing of this offering and our amended and restated bylaws that will become effective upon the effectiveness of the registration statement of which this prospectus is a part,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2025 for Class I directors, 2026 for Class II directors and 2027 for Class III directors.</w:t>
      </w:r>
    </w:p>
    <w:p>
      <w:pPr>
        <w:spacing w:after="0" w:line="93" w:lineRule="exact"/>
        <w:rPr>
          <w:sz w:val="20"/>
          <w:szCs w:val="20"/>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will be Kiran Mazumdar-Shaw, Jake Simson and Ryan Cohlhepp;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will be Nils Lonberg, Christopher Bowden and Carolyn 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will be Claire Mazumdar, Kate Haviland, Scott Robertson and Michael Powell.</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fifth amended and restated certificate of incorporation that will become effective immediately prior to the closing of this offering and amended and restated bylaws that will become effective upon the effectiveness of the registration statement of which this prospectus is a part provide that the number of our directors shall be fixed from time to time by a resolution of the majority of our board of directors.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stockholder efforts to effect a change of our management or a change in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Currently, the role of chairperson of the board of directors is separated from the role of Chief Executive Officer. Our Chief Executive Officer is responsible for recommending strategic decisions and capital allocation to the board of directors and to ensure the execution of the recommended plans. The chairperson of the board of directors is responsible for leading the board of directors in its fundamental role of providing advice to and independent oversight of management. Our board of directors recognizes the time, effort and energy that the Chief Executive Officer is required to devote to her position in the current business environment, as well as the commitment required to serve as our chairperson, particularly as the board of directors’ oversight responsibilities continue to grow. While our amended and restated bylaws and corporate governance guidelines will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the risks relating to our financial condition, development and commercialization activities, operations, strategic direction, and intellectual property as more fully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will operate pursuant to a charter to be adopted by our board of directors that will be effective upon the effectiveness of the registration statement of which this prospectus is a part. The board of directors may also establish other committees from time to time to assist the Company and the board of directors. Upon the effectiveness of the registration statement of which this prospectus is a part, the composition and functioning of all of our committees will comply with all applicable requirements of the Sarbanes-Oxley Act, Nasdaq and SEC rules and regulations, if applicable. Upon our listing on Nasdaq, each committee’s charter will be available on our website at www.bicara.com. The reference to our website address does not constitute incorporation by reference of the information contained at or available through our website, and you should not consider it to be part of this prospectus.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is a part, Scott Robertson, Michael Powell and Carolyn Ng will serve on the audit committee, which is chaired by Mr. Robertson. Our board of directors has determined that each are “independent” for audit committee purposes as that term is defined by the rules of the SEC and Nasdaq, and that each has sufficient knowledge in financial and auditing matters to serve on the audit committee. Our board of directors has designated Mr. Robertson as an “audit committee financial expert,” as defined under the applicable rules of the SEC. The audit committee’s responsibilities include:</w:t>
      </w:r>
    </w:p>
    <w:p>
      <w:pPr>
        <w:spacing w:after="0" w:line="89"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board of directors our cybersecurity risks, including information security and technology risks;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board of directors our cybersecurity risks, including information security and technology risks;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risk exposures, including financial, operational, cybersecurity, competition, legal and regulatory exposures.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is a part, Michael Powell, Christopher Bowden, and Kate Haviland will serve on the compensation committee, which is chaired by Mr. Powell. Our board of directors has determined that each member of the compensation committee is “independent” as defined in the applicable Nasdaq rules. The compensation committee’s responsibilities include:</w:t>
      </w:r>
    </w:p>
    <w:p>
      <w:pPr>
        <w:spacing w:after="0" w:line="81" w:lineRule="exact"/>
        <w:rPr>
          <w:sz w:val="20"/>
          <w:szCs w:val="20"/>
          <w:color w:val="auto"/>
        </w:rPr>
      </w:pPr>
    </w:p>
    <w:p>
      <w:pPr>
        <w:ind w:left="10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of directors the corporate goals and objectives relevant to the compensation of our Chief Executive Officer and President;</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President in light of such corporate goals and objectives and based on such evaluation: (i) recommending to the board of directors the cash compensation of our Chief Executive Officer and President, and (ii) reviewing and approving grants and awards to our Chief Executive Officer and President under equity-based plans;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cash compensation of our other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is a part, Nils Lonberg, Jake Simson and Kiran Mazumdar-Shaw will serve on the nominating and corporate governance committee, which is chaired by Dr. Lonberg. Our board of directors has determined that each member of the nominating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corporate governance committee is “independent” as defined in the applicable Nasdaq rules. The nominating and corporate governance committee’s responsibilities include:</w:t>
      </w:r>
    </w:p>
    <w:p>
      <w:pPr>
        <w:spacing w:after="0" w:line="67"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adopted a compensation recovery policy that applies to our officers. Under the Sarbanes-Oxley Act, in the event of misconduct that results in a financial restatement that would have reduced a previously paid incentive amount, we can recoup those improper payments from our chief executive officer and chief financial officer. The SEC also recently adopted rules which direct national stock exchanges to require listed companies to implement policies intended to recoup bonuses paid to executives if the company is found to have misstated its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adopted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this code will be posted on the Corporate Governance section of our website, which is located at www.bicara.com. The information on our website is deemed not to be incorporated in this prospectus or to be a part of this prospectus.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maters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permitted by Delaware law, provisions in our fifth amended and restated certificate of incorporation, which will become effective immediately prior to the closing of this offering, and amended and restated bylaws, which will become effective upon the effectiveness of this registration statement, limit or eliminate the personal liability of officers and directors for a breach of their fiduciary duty of care as a director. The duty of care generally requires that, when acting on behalf of the corporation, an officer or director exercise an informed business judgment based on all material information reasonably available to him or her. Consequently, an officer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or director will not be personally liable to us or our stockholders for monetary damages or breach of fiduciary duty as an officer or director, except for liability for:</w:t>
      </w: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officer or director’s duty of loyalty to us or our stockholders;</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Delaware General Corporation Law, or DGCL;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derivative action by or in the right of the corporation;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payments of dividends;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an officer or director’s liability under other laws, such as the federal securities laws or other state or federal laws. Our fifth amended and restated certificate of incorporation that will become effective immediately prior to the closing of this offering also authorizes us to indemnify our officers, directors and other agents to the fullest extent permitted under Delaware law.</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permitted by Delaware law, our amended and restated bylaws, which will become effective upon the effectiveness of this registration statement will provide that:</w:t>
      </w:r>
    </w:p>
    <w:p>
      <w:pPr>
        <w:spacing w:after="0" w:line="67" w:lineRule="exact"/>
        <w:rPr>
          <w:sz w:val="20"/>
          <w:szCs w:val="20"/>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employees and other agents to the fullest extent permitted by law;</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that will be provided for in our fifth amended and restated certificate of incorporation and amended and restated bylaws, we plan to enter into separate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description of the indemnification provisions of our fifth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7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disclosure rules applicable to “smaller reporting companies,” as such term is defined in the rules promulgated under the Exchange Act. The compensation provided to our named executive officers, or NEOs, for the year ended December 31, 2023 is detailed in the “</w:t>
      </w:r>
      <w:r>
        <w:rPr>
          <w:rFonts w:ascii="Times New Roman" w:cs="Times New Roman" w:eastAsia="Times New Roman" w:hAnsi="Times New Roman"/>
          <w:sz w:val="18"/>
          <w:szCs w:val="18"/>
          <w:i w:val="1"/>
          <w:iCs w:val="1"/>
          <w:color w:val="auto"/>
        </w:rPr>
        <w:t>2023 Summary Compensation Table</w:t>
      </w:r>
      <w:r>
        <w:rPr>
          <w:rFonts w:ascii="Times New Roman" w:cs="Times New Roman" w:eastAsia="Times New Roman" w:hAnsi="Times New Roman"/>
          <w:sz w:val="18"/>
          <w:szCs w:val="18"/>
          <w:color w:val="auto"/>
        </w:rPr>
        <w:t>” and accompanying footnotes and narrative that follow. Our NEOs for the year ended December 31, 2023, which consist of our Chief Executive Officer and the two most highly compensated executive officers (other than our Chief Executive Officer) who were serving as our executive officers on December 31, 2023, are:</w:t>
      </w:r>
    </w:p>
    <w:p>
      <w:pPr>
        <w:spacing w:after="0" w:line="89"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Claire Mazumdar, Ph.D., M.B.A., our Chief Executive Officer;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Cohlhepp, Pharm.D., our President and Chief Operating Officer;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Ivan Hyep, M.B.A., our Chief Financial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our NEOs for services rendered to us in all capacities during the fiscal year ended December 31,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gridSpan w:val="2"/>
            <w:vMerge w:val="continue"/>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Salary($</w:t>
            </w: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Bonus($</w:t>
            </w:r>
            <w:r>
              <w:rPr>
                <w:rFonts w:ascii="Times New Roman" w:cs="Times New Roman" w:eastAsia="Times New Roman" w:hAnsi="Times New Roman"/>
                <w:sz w:val="14"/>
                <w:szCs w:val="14"/>
                <w:b w:val="1"/>
                <w:bCs w:val="1"/>
                <w:color w:val="auto"/>
              </w:rPr>
              <w:t>)(1)</w:t>
            </w:r>
          </w:p>
        </w:tc>
        <w:tc>
          <w:tcPr>
            <w:tcW w:w="110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47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u w:val="single" w:color="auto"/>
                <w:color w:val="auto"/>
              </w:rPr>
              <w:t>Awards($</w:t>
            </w:r>
            <w:r>
              <w:rPr>
                <w:rFonts w:ascii="Times New Roman" w:cs="Times New Roman" w:eastAsia="Times New Roman" w:hAnsi="Times New Roman"/>
                <w:sz w:val="14"/>
                <w:szCs w:val="14"/>
                <w:b w:val="1"/>
                <w:bCs w:val="1"/>
                <w:color w:val="auto"/>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2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Claire Mazumdar, Ph.D., M.B.A.</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2023</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450,000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5"/>
              </w:rPr>
              <w:t>180,000</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3,893,323</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6"/>
              </w:rPr>
              <w:t>20,000</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4,543,323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Cohlhepp, Pharm.D.</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450,000</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190,000</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2,498,786</w:t>
            </w: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20,000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3,158,786</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Ivan Hyep, M.B.A.</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247,500</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1,883,243</w:t>
            </w: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2,480,743</w:t>
            </w:r>
          </w:p>
        </w:tc>
        <w:tc>
          <w:tcPr>
            <w:tcW w:w="0" w:type="dxa"/>
            <w:vAlign w:val="bottom"/>
          </w:tcPr>
          <w:p>
            <w:pPr>
              <w:spacing w:after="0"/>
              <w:rPr>
                <w:sz w:val="1"/>
                <w:szCs w:val="1"/>
                <w:color w:val="auto"/>
              </w:rPr>
            </w:pPr>
          </w:p>
        </w:tc>
      </w:tr>
      <w:tr>
        <w:trPr>
          <w:trHeight w:val="23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jc w:val="both"/>
        <w:ind w:left="540" w:right="20" w:hanging="424"/>
        <w:spacing w:after="0" w:line="257"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annual bonuses earned by our NEOs during the fiscal year ended December 31, 2023 ($180,000 for Dr. Mazumdar, $180,000 for Dr. Cohlhepp, and $122,500 for Mr. Hyep). In the case of Dr. Cohlhepp, the amount reported also includes referral bonuses in an aggregate amount of $10,000 and, in the case of Mr. Hyep, the amount reported also includes a retention bonus in an amount of $125,000.</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options awarded to our NEOs during the fiscal year ended December 31, 2023, calculated in accordance with Financial Accounting Standards Board, or FASB, Accounting Standards Codification, or ASC, Topic 718, disregarding estimated forfeitures related to service-based vesting. For a description of the assumptions used in determining these values, see Note 11 of our consolidated financial statements included elsewhere in this prospectus. The amount reported in this column reflects the accounting cost for the stock options and does not correspond to the actual economic value that may be received by our NEOs upon the exercise of the stock options or any sale of the underlying shares.</w:t>
      </w:r>
    </w:p>
    <w:p>
      <w:pPr>
        <w:spacing w:after="0" w:line="2"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milestone bonuses earned in connection with our Series B preferred stock financing, as described below under “</w:t>
      </w:r>
      <w:r>
        <w:rPr>
          <w:rFonts w:ascii="Times New Roman" w:cs="Times New Roman" w:eastAsia="Times New Roman" w:hAnsi="Times New Roman"/>
          <w:sz w:val="18"/>
          <w:szCs w:val="18"/>
          <w:i w:val="1"/>
          <w:iCs w:val="1"/>
          <w:color w:val="auto"/>
        </w:rPr>
        <w:t>2023 Cash Incentive Compensation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the 2023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Base Salaries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NEOs each receive a base salary to compensate them for services rendered to us. The base salary payable to each NEO is intended to provide a fixed component of compensation reflecting the executive’s skill set, experience, role, and responsibilities. Base salaries are reviewed annually, typically in connection with our annual performance review process, approved by our board of directors or the compensation committee of our board of directors, or the compensation committee, and may be adjusted from time to time to realign salaries with market levels after taking into account individual responsibilities, performance, and experience.</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2023, the annual base salaries for Dr. Mazumdar, Dr. Cohlhepp, and Mr. Hyep were $450,000, $450,000, and $350,000, respectively. Effective as of January 1, 2024, the annual base salaries for Dr. Mazumdar, Dr. Cohlhepp, and Mr. Hyep were increased to $500,000, $500,000, and $425,000, respectively, reflecting merit-based increases.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Cash Incentive Compensation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2023, each of our NEOs was eligible to earn an annual bonus based on the Company’s achievement of certain non-formulaic performance objectives, as determined by our board of directors. The target annual bonus for 2023 for Dr. Mazumdar, Dr. Cohlhepp, and Mr. Hyep were 40%, 40%, and 35%, respectively, of the NEO’s applicable annual base salary. The annual bonus earned by each NEO with respect to the fiscal year ended December 31, 2023 was $180,000 for each of Dr. Mazumdar and Dr. Cohlhepp and $122,500 for Mr. Hyep. Effective as of January 1, 2024, the target annual bonus for each of Dr. Mazumdar, Dr. Cohlhepp, and Mr. Hyep was increased to 45%, 45% and 40%, respectively, of the NEO’s annual base salary, reflecting merit-based increases.</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September 26, 2021, we entered into a retention bonus letter agreement with Mr. Hyep, or the Hyep Retention Letter, that provides for a retention bonus in the aggregate amount of $500,000, payable in four equal installments on each of June 1, 2022, 2023, 2024, and 2025, subject to Mr. Hyep’s continued service with us through the applicable payment date. The $125,000 retention bonus earned by Mr. Hyep during the fiscal year ended December 31, 2023 is reported under the “</w:t>
      </w: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column in the “</w:t>
      </w:r>
      <w:r>
        <w:rPr>
          <w:rFonts w:ascii="Times New Roman" w:cs="Times New Roman" w:eastAsia="Times New Roman" w:hAnsi="Times New Roman"/>
          <w:sz w:val="18"/>
          <w:szCs w:val="18"/>
          <w:i w:val="1"/>
          <w:iCs w:val="1"/>
          <w:color w:val="auto"/>
        </w:rPr>
        <w:t>2023 Summary Compensation Table</w:t>
      </w:r>
      <w:r>
        <w:rPr>
          <w:rFonts w:ascii="Times New Roman" w:cs="Times New Roman" w:eastAsia="Times New Roman" w:hAnsi="Times New Roman"/>
          <w:sz w:val="18"/>
          <w:szCs w:val="18"/>
          <w:color w:val="auto"/>
        </w:rPr>
        <w:t>” above. In the event that Mr. Hyep’s employment terminates prior to June 1, 2025 for any reason other than a termination by the Company without “cause” (as defined in Mr. Hyep’s Amended Employment Agreement (as defined below)) or a termination by Mr. Hyep for “good reason”, Mr. Hyep is obligated to repay to the Company the final $125,000 installment of the retention bonus.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during the fiscal year ended December 31, 2023, Dr. Cohlhepp received two referral bonuses in an aggregate amount equal to $10,000, as reported under the “</w:t>
      </w: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column in the “</w:t>
      </w:r>
      <w:r>
        <w:rPr>
          <w:rFonts w:ascii="Times New Roman" w:cs="Times New Roman" w:eastAsia="Times New Roman" w:hAnsi="Times New Roman"/>
          <w:sz w:val="18"/>
          <w:szCs w:val="18"/>
          <w:i w:val="1"/>
          <w:iCs w:val="1"/>
          <w:color w:val="auto"/>
        </w:rPr>
        <w:t>2023 Summary Compensation Table</w:t>
      </w:r>
      <w:r>
        <w:rPr>
          <w:rFonts w:ascii="Times New Roman" w:cs="Times New Roman" w:eastAsia="Times New Roman" w:hAnsi="Times New Roman"/>
          <w:sz w:val="18"/>
          <w:szCs w:val="18"/>
          <w:color w:val="auto"/>
        </w:rPr>
        <w:t>” above. Under the Company’s referral bonus program, employees are eligible to receive a referral bonus in the amount of $5,000 for each new hire referred to the Company, which amount is payable on the six-month anniversary of the referred employee’s start date with the Company.</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Furthermore, Dr. Mazumdar and Dr. Cohlhepp each earned $20,000 in milestone bonuses in connection with the Company’s completion of its Series B preferred stock financing and the Company’s achievement of certain Series B preferred stock financing goals, as reported under the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column in the “</w:t>
      </w:r>
      <w:r>
        <w:rPr>
          <w:rFonts w:ascii="Times New Roman" w:cs="Times New Roman" w:eastAsia="Times New Roman" w:hAnsi="Times New Roman"/>
          <w:sz w:val="18"/>
          <w:szCs w:val="18"/>
          <w:i w:val="1"/>
          <w:iCs w:val="1"/>
          <w:color w:val="auto"/>
        </w:rPr>
        <w:t>2023 Summary Compensation Table</w:t>
      </w:r>
      <w:r>
        <w:rPr>
          <w:rFonts w:ascii="Times New Roman" w:cs="Times New Roman" w:eastAsia="Times New Roman" w:hAnsi="Times New Roman"/>
          <w:sz w:val="18"/>
          <w:szCs w:val="18"/>
          <w:color w:val="auto"/>
        </w:rPr>
        <w:t>”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Accordingly, our board of directors periodically reviews the equity incentive compensation of our executive officers and may grant equity incentive awards to them from time to time. During the fiscal year ended December 31, 2023, we granted option awards to our NEOs under our 2019 Plan, as described in more detail in the “</w:t>
      </w:r>
      <w:r>
        <w:rPr>
          <w:rFonts w:ascii="Times New Roman" w:cs="Times New Roman" w:eastAsia="Times New Roman" w:hAnsi="Times New Roman"/>
          <w:sz w:val="18"/>
          <w:szCs w:val="18"/>
          <w:i w:val="1"/>
          <w:iCs w:val="1"/>
          <w:color w:val="auto"/>
        </w:rPr>
        <w:t>Outstanding Equity Awards at 2023 Fiscal Year-End</w:t>
      </w:r>
      <w:r>
        <w:rPr>
          <w:rFonts w:ascii="Times New Roman" w:cs="Times New Roman" w:eastAsia="Times New Roman" w:hAnsi="Times New Roman"/>
          <w:sz w:val="18"/>
          <w:szCs w:val="18"/>
          <w:color w:val="auto"/>
        </w:rPr>
        <w:t>” table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or Personal Benefits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Perquisites and other personal benefits are not a significant component of our executive compensation program. Accordingly, we do not provide perquisites or personal benefits to our NEOs.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Times New Roman" w:cs="Times New Roman" w:eastAsia="Times New Roman" w:hAnsi="Times New Roman"/>
          <w:sz w:val="17"/>
          <w:szCs w:val="17"/>
          <w:color w:val="auto"/>
        </w:rPr>
        <w:t>We currently maintain a tax-qualified 401(k) retirement savings plan for our employees, including our NEOs, who satisfy certain eligibility requirements. Our NEOs are eligible to participate in the 401(k) plan on the same terms as other full-time employees. Our 401(k) plan is intended to qualify for favorable tax treatment under Section 401(a) of the Code and contains a cash or deferred feature that is intended to meet the requirements of Section 401(k) of the Code. We did not provide any matching or discretionary contributions under the 401(k) plan during the fiscal year ended December 31, 2023. We believe that providing a vehicle for tax-deferred retirement savings though our 401(k) plan adds to the overall desirability of our executive compensation package and further incentivizes our employees, including our NEOs, in accordance with our compensation policies. Other than the 401(k) plan, we do not provide any qualified or non-qualified retirement or deferred compensation benefits to our employees, including our NEOs.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Prior employment arrangements in place during the 2023 fiscal year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Claire Mazumdar, Ph.D., M.B.A.</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Effective as of January 6, 2020, the Company entered into an employment agreement with Dr. Mazumdar, as amended by the First Amendment to Employment Agreement effective as of November 3, 2023, for the position of Chief Executive Officer, or the Prior Mazumdar Employment Agreement. The Prior Mazumdar Employment Agreement provided for Dr. Mazumdar’s at-will employment, and an initial annual base salary and initial target annual incentive compensation amount, each of which has subsequently been increased as described above under “</w:t>
      </w:r>
      <w:r>
        <w:rPr>
          <w:rFonts w:ascii="Times New Roman" w:cs="Times New Roman" w:eastAsia="Times New Roman" w:hAnsi="Times New Roman"/>
          <w:sz w:val="18"/>
          <w:szCs w:val="18"/>
          <w:i w:val="1"/>
          <w:iCs w:val="1"/>
          <w:color w:val="auto"/>
        </w:rPr>
        <w:t>2023 Base Salaries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2023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Compensation</w:t>
      </w:r>
      <w:r>
        <w:rPr>
          <w:rFonts w:ascii="Times New Roman" w:cs="Times New Roman" w:eastAsia="Times New Roman" w:hAnsi="Times New Roman"/>
          <w:sz w:val="18"/>
          <w:szCs w:val="18"/>
          <w:color w:val="auto"/>
        </w:rPr>
        <w:t>”. The Prior Mazumdar Employment Agreement also provided for an initial grant of a number of shares of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the Prior Mazumdar Employment Agreement, Dr. Mazumdar was eligible to participate in the employee benefit plans generally available to employees, subject to the terms of those plans.</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Prior Mazumdar Employment Agreement provided that in the event that Dr. Mazumdar’s employment was terminated by the Company without “cause” or she resigned for “good reason” (as each term was defined in the Prior Mazumdar Employment Agreement), subject to Dr. Mazumdar’s execution and the effectiveness of a separation agreement, including a general release of claims in the Company’s favor, she would have been entitled to receive (i) base salary continuation for 12 months following termination, (ii) subject to the Company’s attainment of the applicable performance goals for the applicable fiscal year, a pro-rated portion of her target cash incentive compensation for the year of termination, (iii) subject to Dr. Mazumdar’s copayment of premium amounts at the applicable active employees’ rate and proper election to continue COBRA health coverage, payment of the portion of the premium equal to the amount that the Company would have paid to provide health insurance to Dr. Mazumdar had she remained employed with the Company until the earliest of (A) 12 months following termination, (B) Dr. Mazumdar’s eligibility for group medical plan benefits under any other employer’s group medical plan, or (C) the end of Dr. Mazumdar’s COBRA health continuation period, and (iv) if such termination had occurred within 12 months immediately following a “sale event” (as such term was defined in the Prior Mazumdar Employment Agreement), accelerated vesting of all time-based stock options held by Dr. Mazumdar.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Prior Mazumdar Employment Agreement, in the event that Dr. Mazumdar’s employment terminated for any reason, she would have been entitled to receive any earned but unpaid annual bonus for the year prior to the year of termination. Pursuant to the Prior Mazumdar Employment Agreement, in the event that Dr. Mazumdar’s employment terminated due to her death or disability, she would have been entitled to receive a pro-rated portion of her target cash incentive compensation for the year of termination, subject to the Company’s attainment of the applicable performance goals for such year.</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Dr. Mazumdar also entered into a standard form agreement with respect to confidential information, intellectual property assignment and non-competition and non-solicitation restrictions.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Ryan Cohlhepp, Pharm.D.</w:t>
      </w:r>
    </w:p>
    <w:p>
      <w:pPr>
        <w:spacing w:after="0" w:line="11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Effective as of October 19, 2020, the Company entered into an employment agreement with Dr. Cohlhepp, as amended by the First Amendment to Employment Agreement effective as of November 3, 2023, for the position of President and Chief Operating Officer, or the Prior Cohlhepp Employment Agreement. The Prior Cohlhepp Employment Agreement provided for Dr. Cohlhepp’s at-will employment, and an initial annual base salary and initial target annual incentive compensation amount, each of which has subsequently been increased as described above under “</w:t>
      </w:r>
      <w:r>
        <w:rPr>
          <w:rFonts w:ascii="Times New Roman" w:cs="Times New Roman" w:eastAsia="Times New Roman" w:hAnsi="Times New Roman"/>
          <w:sz w:val="18"/>
          <w:szCs w:val="18"/>
          <w:i w:val="1"/>
          <w:iCs w:val="1"/>
          <w:color w:val="auto"/>
        </w:rPr>
        <w:t>2023 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Salaries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2023 Cash Incentive Compensation</w:t>
      </w:r>
      <w:r>
        <w:rPr>
          <w:rFonts w:ascii="Times New Roman" w:cs="Times New Roman" w:eastAsia="Times New Roman" w:hAnsi="Times New Roman"/>
          <w:sz w:val="18"/>
          <w:szCs w:val="18"/>
          <w:color w:val="auto"/>
        </w:rPr>
        <w:t>”. The Prior Cohlhepp Employment Agreement also provided for an initial grant of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restricted stock. Under the Prior Cohlhepp Employment Agreement, Dr. Cohlhepp was eligible to participate in the employee benefit plans generally available to employees, subject to the terms of those plans.</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Prior Cohlhepp Employment Agreement provided that in the event that Dr. Cohlhepp’s employment was terminated by the Company without “cause” or he resigned for “good reason” (as each term was defined in the Prior Cohlhepp Employment Agreement), subject to Dr. Cohlhepp’s execution and the effectiveness of a separation agreement, including a general release of claims in the Company’s favor, he would have been entitled to receive (i) base salary continuation for 12 months following termination, (ii) subject to the Company’s attainment of the applicable performance goals for the applicable fiscal year, a pro-rated portion of his target cash incentive compensation for the year of termination, (iii) subject to Dr. Cohlhepp’s copayment of premium amounts at the applicable active employees’ rate and proper election to continue COBRA health coverage, payment of the portion of the premium equal to the amount that the Company would have paid to provide health insurance to Dr. Cohlhepp had he remained employed with the Company until the earliest of (A) 12 months following termination, (B) Dr. Cohlhepp’s eligibility for group medical plan benefits under any other employer’s group medical plan, or (C) the end of Dr. Cohlhepp’s COBRA health continuation period, and (iv) if such termination had occurred within 12 months immediately following a “sale event” (as such term was defined in the Prior Cohlhepp Employment Agreement), accelerated vesting of all time-based stock options held by Dr. Cohlhepp.</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Prior Cohlhepp Employment Agreement, in the event that Dr. Cohlhepp’s employment terminated for any reason, he would have been entitled to receive any earned but unpaid annual bonus for the year prior to the year of termination. Pursuant to the Prior Cohlhepp Employment Arrangement, in the event that Dr. Cohlhepp’s employment terminated due to his death or disability, he would have been entitled to receive a pro-rated portion of his target cash incentive compensation for the year of termination, subject to the Company’s attainment of the applicable performance goals for such year.</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Dr. Cohlhepp also entered into a standard form agreement with respect to confidential information, intellectual property assignment and non-competition and non-solicitation restrictions.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Ivan Hyep, M.B.A.</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February 8, 2021, the Company entered into an offer letter with Mr. Hyep, as amended by the First Amendment to Employment Agreement effective as of November 3, 2023 for the position of Chief Financial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Officer, or the Prior Hyep Employment Arrangement. The Prior Hyep Employment Arrangement provided for Mr. Hyep’s at-will employment, and an initial annual base salary and initial target annual incentive compensation amount, each of which has subsequently been increased as described above under “</w:t>
      </w:r>
      <w:r>
        <w:rPr>
          <w:rFonts w:ascii="Times New Roman" w:cs="Times New Roman" w:eastAsia="Times New Roman" w:hAnsi="Times New Roman"/>
          <w:sz w:val="18"/>
          <w:szCs w:val="18"/>
          <w:i w:val="1"/>
          <w:iCs w:val="1"/>
          <w:color w:val="auto"/>
        </w:rPr>
        <w:t>2023 Base Salaries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2023 Cash Incentive Compensation</w:t>
      </w:r>
      <w:r>
        <w:rPr>
          <w:rFonts w:ascii="Times New Roman" w:cs="Times New Roman" w:eastAsia="Times New Roman" w:hAnsi="Times New Roman"/>
          <w:sz w:val="18"/>
          <w:szCs w:val="18"/>
          <w:color w:val="auto"/>
        </w:rPr>
        <w:t>”. The Prior Hyep Employment Arrangement also provided for an initial grant of a number of shares of restricted stock or a stock option award. Under the Prior Hyep Employment Arrangement, Mr. Hyep was eligible to participate in the employee benefit plans generally available to employees, subject to the terms of those plans.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Prior Hyep Employment Arrangement provided that in the event that Mr. Hyep’s employment was terminated by the Company without “cause” (as such term was defined in the Prior Hyep Employment Arrangement), subject to Mr. Hyep’s signing and not revoking a separation agreement and release of claims in the Company’s favor, he would have been entitled to receive (i) base salary continuation for 12 months following termination, and (ii) subject to Mr. Hyep’s copayment of premium amounts at the applicable active employees’ rate and proper election to continue COBRA health coverage, payment of the portion of the premium equal to the amount that the Company would have paid to provide health insurance to Mr. Hyep had he remained employed with the Company until the earliest of (A) 12 months following termination, (B) Mr. Hyep’s eligibility for group medical plan benefits under any other employer’s group medical plan, or (C) the end of Mr. Hyep’s COBRA health continuation period.</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Mr. Hyep also entered into a standard form agreement with respect to confidential information, intellectual property assignment and non-competition and non-solicitation restrictions.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in place during the 2024 fiscal year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Employment Agreements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Effective as of March 1, 2024, the Company entered into amended and restated employment agreements with Dr. Mazumdar, Dr. Cohlhepp, and Mr. Hyep (collectively, the “Amended Employment Agreements”), that supersede in all respects all prior employment agreements, offer letters and severance agreements between Dr. Mazumdar, Dr. Cohlhepp, Mr. Hyep, respectively, and the Company, including the Prior Mazumdar Employment Agreement, the Prior Cohlhepp Employment Agreement, and the Prior Hyep Employment Arrangement, each as described above.</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Amended Employment Agreements, each of the NEOs continues to serve in their respective roles on an at-will basis. The Amended Employment Agreements provide for each NEO’s base salary, which is subject to periodic review by our board of directors or the compensation committee, and a target annual cash incentive opportunity, with the actual amount of any annual cash bonus determined by our board of directors or the compensation committee, subject to the terms of any applicable incentive compensation plan that may be in effect from time to time. Each NEO’s current base salary and target annual cash incentive opportunity is described above under “</w:t>
      </w:r>
      <w:r>
        <w:rPr>
          <w:rFonts w:ascii="Times New Roman" w:cs="Times New Roman" w:eastAsia="Times New Roman" w:hAnsi="Times New Roman"/>
          <w:sz w:val="18"/>
          <w:szCs w:val="18"/>
          <w:i w:val="1"/>
          <w:iCs w:val="1"/>
          <w:color w:val="auto"/>
        </w:rPr>
        <w:t>2023 Base Salaries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2023 Cash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NEOs are also eligible to participate in the Company’s U.S. employee benefit plans available to employees, subject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plans.</w:t>
      </w:r>
    </w:p>
    <w:p>
      <w:pPr>
        <w:spacing w:after="0" w:line="18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Amended Employment Agreements, in the event that an NEO’s employment is terminated by the Company without “cause” or the NEO resigns for “good reason”, in either case outside of the one-year period following a “change in control” (as each such term is defined in the Amended Employment Agreements), subject to the applicable NEO signing a separation agreement and release of claims in the Company’s favor and such separation agreement and release becoming fully effective no more than 60 days after the termination date, such NEO will be entitled to receive</w:t>
      </w:r>
    </w:p>
    <w:p>
      <w:pPr>
        <w:spacing w:after="0" w:line="3" w:lineRule="exact"/>
        <w:rPr>
          <w:sz w:val="20"/>
          <w:szCs w:val="20"/>
          <w:color w:val="auto"/>
        </w:rPr>
      </w:pPr>
    </w:p>
    <w:p>
      <w:pPr>
        <w:jc w:val="both"/>
        <w:ind w:left="120" w:hanging="4"/>
        <w:spacing w:after="0" w:line="253" w:lineRule="auto"/>
        <w:tabs>
          <w:tab w:leader="none" w:pos="33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continuation for 12 months following termination, (ii) subject to the Company’s attainment of the applicable pre-established performance goals for the year of termination, a pro-rated portion of such NEO’s target cash incentive compensation for the year of termination, or Pro-Rata Bonus, and (iii) subject to the applicable NEO’s copayment of premium amounts at the applicable active employees’ rate and proper election to continue COBRA health coverage, payment of the portion of the premium equal to the amount that we would have paid to provide health insurance to such NEO had he or she remained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employed with the Company until the earliest of (A) 12 months following termination, (B) the applicable NEO’s eligibility for group medical plan benefits under any other employer’s group medical plan, or (C) the end of the applicable NEO’s COBRA health continuation period.</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Amended Employment Agreements, in lieu of the payments and benefits described in the preceding sentence, in the event that the NEO’s employment is terminated by the Company without cause or the NEO resigns for good reason, in either case within one year following a change in control, subject to the applicable NEO signing a separation agreement and release of claims in the Company’s favor and such separation agreement and release becoming fully effective no more than 60 days after the termination date, such NEO will be entitled to receive (i) 12 months of such NEO’s then-current annual base salary (or such NEO’s annual base salary in effect immediately prior to the change in control, if higher), payable in a lump sum, (ii) a Pro-Rata Bonus, (iii) subject the applicable NEO’s copayment of premium amounts at the applicable active employees’ rate and proper election to continue COBRA health coverage, payment of the portion of the premium equal to the amount that the Company would have paid to provide health insurance to such NEO had he or she remained employed with the Company until the earliest of (A) 12 months following termination, (B) the applicable NEO’s eligibility for group medical plan benefits under any other employer’s group medical plan, or (C) the end of the applicable NEO’s COBRA health continuation period, and (iv) full accelerated vesting of 100% of all stock options and other stock-based awards subject solely to time-based vesting held by such NEO.</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Amended Employment Agreements, in the event that an NEO’s employment is terminated for any reason, such NEO will be entitled to receive any earned but unpaid annual bonus for the year prior to the year of termination. In the event that an NEO’s employment is terminated due to the NEO’s death or disability, such NEO will also be entitled to receive a Pro-Rata Bonus.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Amended Employment Agreements, if the payments and benefits payable to the applicable NEO in connection with a change in control would be subject to the excise tax on golden parachutes imposed under Section 4999 of the Code, then those payments or benefits will be reduced if such reduction would result in a higher net after-tax benefit to the applicable NEO than if he or she had been paid the full amount of such payments and benefits, with such amount subject to the excise tax.</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standard form agreement with respect to confidential information, intellectual property assignment and non-competition and non-solicitation restrictions that the NEOs entered into before this offering remains in full force and effect.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Amended Employment Agreements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Effective as of and subject to the closing of this offering, the Company entered into second amended and restated employment agreements with Dr. Mazumdar, Dr. Cohlhepp, and Mr. Hyep (collectively, the “Second Amended Employment Agreements”), that supersede in all respects all prior employment agreements, offer letters and severance agreements between Dr. Mazumdar, Dr. Cohlhepp, Mr. Hyep, respectively, and the Company, including the Amended Employment Agreements, described above.</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Second Amended Employment Agreements, each of the NEOs continues to serve in their respective roles on an at-will basis. The Second Amended Employment Agreements provide for each NEO’s base salary, which is subject to periodic review by our board of directors or the compensation committee, and a target annual cash incentive opportunity, with the actual amount of any annual cash bonus determined by our board of directors or the compensation committee, subject to the terms of any applicable incentive compensation plan that may be in effect from time to time. Dr. Mazumdar, Dr. Cohlhepp and Mr. Hyep’s initial Base Salary (as defined in Second Amended Employment Agreements) will be $560,000, $560,000 and $470,000, respectively and their initial Target Bonus (as defined in Second Amended Employment Agreements) will be 55%, 50% and 40%, respectively. The NEOs are also eligible to participate in the Company’s U.S. employee benefit plans available to employees, subject to the terms of those plans.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Second Amended Employment Agreements, in the event that an NEO’s employment terminates for any reason, the NEO shall be entitled to (i) any Base Salary earned through the Date of Termination (as defined in the Second Amended Employment Agreements); (ii) unpaid expense reimbursements (iii) if the Date of Termination occurs after the completion of a calendar year but prior to the payment of annual bonuses for such year, the Company will pay the NEO the bonus amount that the Executive otherwise would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earned if the NEO remained employed on the date of payment, as determined in the sole discretion of the board or compensation committee; and</w:t>
      </w:r>
    </w:p>
    <w:p>
      <w:pPr>
        <w:spacing w:after="0" w:line="27" w:lineRule="exact"/>
        <w:rPr>
          <w:sz w:val="20"/>
          <w:szCs w:val="20"/>
          <w:color w:val="auto"/>
        </w:rPr>
      </w:pPr>
    </w:p>
    <w:p>
      <w:pPr>
        <w:jc w:val="both"/>
        <w:ind w:left="120" w:hanging="4"/>
        <w:spacing w:after="0" w:line="253" w:lineRule="auto"/>
        <w:tabs>
          <w:tab w:leader="none" w:pos="43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benefits the NEO may have under any employee benefit plan of the Company through the Date of Termination, which vested benefits shall be paid and/or provided in accordance with the terms of such employee benefit plans. In addition, if the NEO’s employment with the Company is terminated due to the NEO’s death or disability, then subject to the Company’s attainment of the applicable preestablished performance goals for the calendar year in which the Date of Termination occurs, if any, a pro rata portion of the Target Bonus which would have been earned by the NEO with respect to such calendar year, based upon the number of days the NEO was employed with the Company during such calendar year.</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Second Amended Employment Agreements, in the event that an NEO’s employment is terminated by the Company without “Cause” or the NEO resigns for “Good Reason,” in either case outside of a “Change in Control Period” (as each term is defined in the Second Amended Employment Agreements), subject to the applicable NEO signing a separation agreement and release of claims in the Company’s favor and such separation agreement and release becoming fully effective no more than 60 days after the termination date (a “Release”), such NEO will be entitled to receive (i) Base Salary continuation for 12 months following termination, (ii) subject to the applicable NEO’s copayment of premium amounts at the applicable active employees’ rate and proper election to continue COBRA health coverage, payment of the portion of the premium equal to the amount that we would have paid to provide health insurance to such NEO had he or she remained employed with the Company until the earliest of (A) 12 months following termination, (B) the applicable NEO’s eligibility for group medical plan benefits under any other employer’s group medical plan, or (C) at the end of the applicable NEO’s COBRA health continuation period.</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Second Amended Employment Agreements, in lieu of the payments and benefits described in the preceding paragraph, in the event that the NEO’s employment is terminated by the Company without Cause or the NEO resigns for Good Reason, in either case within a “Change in Control Period” and the “Change in Control” is not a “Specified Transaction” (as those terms are defined in the Second Amended Employment Agreements), subject to the applicable NEO signing and not revoking a Release, the NEO will be entitled to receive (i) the NEO’s then-current Base Salary (or such NEO’s annual Base Salary in effect immediately prior to the Change in Control, if higher), payable in a lump sum, (ii) subject to applicable NEO’s copayment of premium amounts at the applicable active employees’ rate and proper election to continue COBRA health coverage, payment of the portion of the premium equal to the amount that the Company would have paid to provide health insurance to such NEO had he or she remained employed with the Company until the earliest of (A) 12 months following termination, (B) the applicable NEO’s eligibility for group medical plan benefits under any other employer’s group medical plan, or (C) the end of the applicable NEO’s COBRA health continuation period, and (iii) full accelerated vesting of 100% of all stock options and other stock-based awards subject solely to time-based vesting held by such NEO.</w:t>
      </w:r>
    </w:p>
    <w:p>
      <w:pPr>
        <w:spacing w:after="0" w:line="194"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7"/>
          <w:szCs w:val="17"/>
          <w:color w:val="auto"/>
        </w:rPr>
        <w:t>Pursuant to the Second Amended Employment Agreements, in the event that the NEO’s employment is terminated by the Company without Cause or the NEO resigns for Good Reason, in either case within a Change in Control Period and the Change in Control is a Specified Transaction, subject to the applicable NEO entering into and not revoking a Release, and lieu of the payments and benefits in the preceding paragraphs, (1) Dr. Mazumdar and Dr. Cohlhepp shall receive (i) a lump sum cash in the amount of 1.5 x the sum of their respective Base Salary and Target Bonus, (ii) subject to applicable NEO’s copayment of premium amounts at the applicable active employees’ rate and proper election to continue COBRA health coverage, payment of the portion of the premium equal to the amount that the Company would have paid to provide health insurance to such NEO had they remained employed with the Company until the earliest of (A) 18 months following the Date of Termination, (B) the applicable NEO’s eligibility for group medical plan benefits under any other employer’s group medical plan, or (C) the end of the applicable NEO’s COBRA health continuation period, and</w:t>
      </w:r>
    </w:p>
    <w:p>
      <w:pPr>
        <w:jc w:val="both"/>
        <w:ind w:left="120" w:hanging="4"/>
        <w:spacing w:after="0" w:line="253" w:lineRule="auto"/>
        <w:tabs>
          <w:tab w:leader="none" w:pos="4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accelerated vesting of 100% of all stock options and other stock-based awards subject solely to time-based vesting held by such NEO, (2) Mr. Hyep shall receive (i) a lump sum cash in the amount of his Base Salary and Target Bonus; and (ii) subject to his copayment of premium amounts at the applicable active employees’ rate and proper election to continue COBRA health coverage, payment of the portion of the premium equal to the amount that the Company would have paid to provide health insurance had he remained employed with the Company until the earliest of (A) 12 months following the Date of Termination, (B) his eligibility for group medical plan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benefits under any other employer’s group medical plan, or (C) the end of his COBRA health continuation period, and (iii) full accelerated vesting of 100% of all stock options and other stock-based awards subject solely to time-based vesting held by Mr. Hyep.</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Second Amended Employment Agreements, the Change in Control Period shall be the one-year period following the Change in Control, provided that if the Change in Control is a Specified Transaction, the Change in Control Period shall also include the 3 months before the Change in Control.</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Amended Employment Agreements, if the payments and benefits payable to the applicable NEO in connection with a Change in Control would be subject to the excise tax on golden parachutes imposed under Section 4999 of the Code, then those payments or benefits will be reduced if such reduction would result in a higher net after-tax benefit to the applicable NEO than if he or she had been paid the full amount of such payments and benefits, with such amount subject to the excise tax.</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standard form agreement with respect to confidential information, intellectual property assignment and non-competition and non-solicitation restrictions that the NEOs entered into before this offering remains in full force and effect.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the Dodd-Frank Act, final SEC rules, and applicable Nasdaq listing standards, our board of directors adopted a compensation recovery policy, which will become effective upon the date on which the registration statement of which this prospectus is part is declared effective by the SEC. The compensation recovery policy will provide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2023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the NEOs as of December 31, 2023.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4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5"/>
                <w:szCs w:val="15"/>
                <w:color w:val="auto"/>
              </w:rPr>
            </w:pP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7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3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9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71"/>
        </w:trPr>
        <w:tc>
          <w:tcPr>
            <w:tcW w:w="18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8"/>
              </w:rPr>
              <w:t>Claire Mazumdar, Ph.D.,</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M.B.A.</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9/15/2020</w:t>
            </w:r>
          </w:p>
        </w:tc>
        <w:tc>
          <w:tcPr>
            <w:tcW w:w="14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2/25/2020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240"/>
              <w:spacing w:after="0" w:line="235" w:lineRule="exact"/>
              <w:rPr>
                <w:sz w:val="20"/>
                <w:szCs w:val="20"/>
                <w:color w:val="auto"/>
              </w:rPr>
            </w:pPr>
            <w:r>
              <w:rPr>
                <w:rFonts w:ascii="Times New Roman" w:cs="Times New Roman" w:eastAsia="Times New Roman" w:hAnsi="Times New Roman"/>
                <w:sz w:val="18"/>
                <w:szCs w:val="18"/>
                <w:color w:val="auto"/>
              </w:rPr>
              <w:t>1,041</w:t>
            </w:r>
            <w:r>
              <w:rPr>
                <w:rFonts w:ascii="Times New Roman" w:cs="Times New Roman" w:eastAsia="Times New Roman" w:hAnsi="Times New Roman"/>
                <w:sz w:val="26"/>
                <w:szCs w:val="26"/>
                <w:color w:val="auto"/>
                <w:vertAlign w:val="superscript"/>
              </w:rPr>
              <w:t>(3)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9/15/2020</w:t>
            </w:r>
          </w:p>
        </w:tc>
        <w:tc>
          <w:tcPr>
            <w:tcW w:w="14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1/6/2020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12,154</w:t>
            </w:r>
            <w:r>
              <w:rPr>
                <w:rFonts w:ascii="Times New Roman" w:cs="Times New Roman" w:eastAsia="Times New Roman" w:hAnsi="Times New Roman"/>
                <w:sz w:val="25"/>
                <w:szCs w:val="25"/>
                <w:color w:val="auto"/>
                <w:vertAlign w:val="superscript"/>
              </w:rPr>
              <w:t>(4)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66,287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11/19/2021</w:t>
            </w:r>
          </w:p>
        </w:tc>
        <w:tc>
          <w:tcPr>
            <w:tcW w:w="14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11/8/2021</w:t>
            </w:r>
          </w:p>
        </w:tc>
        <w:tc>
          <w:tcPr>
            <w:tcW w:w="9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48,617</w:t>
            </w:r>
            <w:r>
              <w:rPr>
                <w:rFonts w:ascii="Times New Roman" w:cs="Times New Roman" w:eastAsia="Times New Roman" w:hAnsi="Times New Roman"/>
                <w:sz w:val="25"/>
                <w:szCs w:val="25"/>
                <w:color w:val="auto"/>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48,617</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11/19/2031</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11/19/2021</w:t>
            </w:r>
          </w:p>
        </w:tc>
        <w:tc>
          <w:tcPr>
            <w:tcW w:w="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11/8/2021</w:t>
            </w:r>
          </w:p>
        </w:tc>
        <w:tc>
          <w:tcPr>
            <w:tcW w:w="9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4,167</w:t>
            </w:r>
            <w:r>
              <w:rPr>
                <w:rFonts w:ascii="Times New Roman" w:cs="Times New Roman" w:eastAsia="Times New Roman" w:hAnsi="Times New Roman"/>
                <w:sz w:val="25"/>
                <w:szCs w:val="25"/>
                <w:color w:val="auto"/>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4,167</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11/19/2031</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10/4/2022</w:t>
            </w:r>
          </w:p>
        </w:tc>
        <w:tc>
          <w:tcPr>
            <w:tcW w:w="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10/4/2022</w:t>
            </w:r>
          </w:p>
        </w:tc>
        <w:tc>
          <w:tcPr>
            <w:tcW w:w="9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16,227</w:t>
            </w:r>
            <w:r>
              <w:rPr>
                <w:rFonts w:ascii="Times New Roman" w:cs="Times New Roman" w:eastAsia="Times New Roman" w:hAnsi="Times New Roman"/>
                <w:sz w:val="25"/>
                <w:szCs w:val="25"/>
                <w:color w:val="auto"/>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48,682</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4.44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10/4/2032</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4/5/2023</w:t>
            </w:r>
          </w:p>
        </w:tc>
        <w:tc>
          <w:tcPr>
            <w:tcW w:w="9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22,989</w:t>
            </w:r>
            <w:r>
              <w:rPr>
                <w:rFonts w:ascii="Times New Roman" w:cs="Times New Roman" w:eastAsia="Times New Roman" w:hAnsi="Times New Roman"/>
                <w:sz w:val="25"/>
                <w:szCs w:val="25"/>
                <w:color w:val="auto"/>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160,923</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4/5/2033</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8/8/2023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8/8/2023</w:t>
            </w:r>
          </w:p>
        </w:tc>
        <w:tc>
          <w:tcPr>
            <w:tcW w:w="9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23,293</w:t>
            </w:r>
            <w:r>
              <w:rPr>
                <w:rFonts w:ascii="Times New Roman" w:cs="Times New Roman" w:eastAsia="Times New Roman" w:hAnsi="Times New Roman"/>
                <w:sz w:val="25"/>
                <w:szCs w:val="25"/>
                <w:color w:val="auto"/>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349,400</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8/8/2033</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12/14/2023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12/14/2023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595,012</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5.45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12/14/2033</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Ryan Cohlhepp,</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Pharm.D.</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9/28/2020</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10/19/2020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23,614</w:t>
            </w:r>
            <w:r>
              <w:rPr>
                <w:rFonts w:ascii="Times New Roman" w:cs="Times New Roman" w:eastAsia="Times New Roman" w:hAnsi="Times New Roman"/>
                <w:sz w:val="25"/>
                <w:szCs w:val="25"/>
                <w:color w:val="auto"/>
                <w:vertAlign w:val="superscript"/>
              </w:rPr>
              <w:t>(4)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128,785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9/28/2020</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10/19/2020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4,167</w:t>
            </w:r>
            <w:r>
              <w:rPr>
                <w:rFonts w:ascii="Times New Roman" w:cs="Times New Roman" w:eastAsia="Times New Roman" w:hAnsi="Times New Roman"/>
                <w:sz w:val="25"/>
                <w:szCs w:val="25"/>
                <w:color w:val="auto"/>
                <w:vertAlign w:val="superscript"/>
              </w:rPr>
              <w:t>(3)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11/19/2021</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11/8/2021</w:t>
            </w:r>
          </w:p>
        </w:tc>
        <w:tc>
          <w:tcPr>
            <w:tcW w:w="9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23,614</w:t>
            </w:r>
            <w:r>
              <w:rPr>
                <w:rFonts w:ascii="Times New Roman" w:cs="Times New Roman" w:eastAsia="Times New Roman" w:hAnsi="Times New Roman"/>
                <w:sz w:val="25"/>
                <w:szCs w:val="25"/>
                <w:color w:val="auto"/>
                <w:vertAlign w:val="superscript"/>
              </w:rPr>
              <w:t>(3)</w:t>
            </w:r>
          </w:p>
        </w:tc>
        <w:tc>
          <w:tcPr>
            <w:tcW w:w="1380" w:type="dxa"/>
            <w:vAlign w:val="bottom"/>
            <w:gridSpan w:val="3"/>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23,614</w:t>
            </w:r>
            <w:r>
              <w:rPr>
                <w:rFonts w:ascii="Times New Roman" w:cs="Times New Roman" w:eastAsia="Times New Roman" w:hAnsi="Times New Roman"/>
                <w:sz w:val="25"/>
                <w:szCs w:val="25"/>
                <w:color w:val="auto"/>
                <w:vertAlign w:val="superscript"/>
              </w:rPr>
              <w:t>(3)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11/19/2031</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11/19/2021</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11/8/2021</w:t>
            </w:r>
          </w:p>
        </w:tc>
        <w:tc>
          <w:tcPr>
            <w:tcW w:w="9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4,167</w:t>
            </w:r>
            <w:r>
              <w:rPr>
                <w:rFonts w:ascii="Times New Roman" w:cs="Times New Roman" w:eastAsia="Times New Roman" w:hAnsi="Times New Roman"/>
                <w:sz w:val="25"/>
                <w:szCs w:val="25"/>
                <w:color w:val="auto"/>
                <w:vertAlign w:val="superscript"/>
              </w:rPr>
              <w:t>(3)</w:t>
            </w:r>
          </w:p>
        </w:tc>
        <w:tc>
          <w:tcPr>
            <w:tcW w:w="1380" w:type="dxa"/>
            <w:vAlign w:val="bottom"/>
            <w:gridSpan w:val="3"/>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4,167</w:t>
            </w:r>
            <w:r>
              <w:rPr>
                <w:rFonts w:ascii="Times New Roman" w:cs="Times New Roman" w:eastAsia="Times New Roman" w:hAnsi="Times New Roman"/>
                <w:sz w:val="25"/>
                <w:szCs w:val="25"/>
                <w:color w:val="auto"/>
                <w:vertAlign w:val="superscript"/>
              </w:rPr>
              <w:t>(3)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11/19/2031</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10/4/2022</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10/4/2022</w:t>
            </w:r>
          </w:p>
        </w:tc>
        <w:tc>
          <w:tcPr>
            <w:tcW w:w="9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16,227</w:t>
            </w:r>
            <w:r>
              <w:rPr>
                <w:rFonts w:ascii="Times New Roman" w:cs="Times New Roman" w:eastAsia="Times New Roman" w:hAnsi="Times New Roman"/>
                <w:sz w:val="25"/>
                <w:szCs w:val="25"/>
                <w:color w:val="auto"/>
                <w:vertAlign w:val="superscript"/>
              </w:rPr>
              <w:t>(3)</w:t>
            </w:r>
          </w:p>
        </w:tc>
        <w:tc>
          <w:tcPr>
            <w:tcW w:w="1380" w:type="dxa"/>
            <w:vAlign w:val="bottom"/>
            <w:gridSpan w:val="3"/>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48,682</w:t>
            </w:r>
            <w:r>
              <w:rPr>
                <w:rFonts w:ascii="Times New Roman" w:cs="Times New Roman" w:eastAsia="Times New Roman" w:hAnsi="Times New Roman"/>
                <w:sz w:val="25"/>
                <w:szCs w:val="25"/>
                <w:color w:val="auto"/>
                <w:vertAlign w:val="superscript"/>
              </w:rPr>
              <w:t>(3)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4.44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10/4/2032</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4/5/2023</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4/5/2023</w:t>
            </w:r>
          </w:p>
        </w:tc>
        <w:tc>
          <w:tcPr>
            <w:tcW w:w="9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14,875</w:t>
            </w:r>
            <w:r>
              <w:rPr>
                <w:rFonts w:ascii="Times New Roman" w:cs="Times New Roman" w:eastAsia="Times New Roman" w:hAnsi="Times New Roman"/>
                <w:sz w:val="25"/>
                <w:szCs w:val="25"/>
                <w:color w:val="auto"/>
                <w:vertAlign w:val="superscript"/>
              </w:rPr>
              <w:t>(3)</w:t>
            </w:r>
          </w:p>
        </w:tc>
        <w:tc>
          <w:tcPr>
            <w:tcW w:w="1380" w:type="dxa"/>
            <w:vAlign w:val="bottom"/>
            <w:gridSpan w:val="3"/>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104,127</w:t>
            </w:r>
            <w:r>
              <w:rPr>
                <w:rFonts w:ascii="Times New Roman" w:cs="Times New Roman" w:eastAsia="Times New Roman" w:hAnsi="Times New Roman"/>
                <w:sz w:val="25"/>
                <w:szCs w:val="25"/>
                <w:color w:val="auto"/>
                <w:vertAlign w:val="superscript"/>
              </w:rPr>
              <w:t>(3)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4/5/2033</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8/8/2023</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8/8/2023</w:t>
            </w:r>
          </w:p>
        </w:tc>
        <w:tc>
          <w:tcPr>
            <w:tcW w:w="9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15,179</w:t>
            </w:r>
            <w:r>
              <w:rPr>
                <w:rFonts w:ascii="Times New Roman" w:cs="Times New Roman" w:eastAsia="Times New Roman" w:hAnsi="Times New Roman"/>
                <w:sz w:val="25"/>
                <w:szCs w:val="25"/>
                <w:color w:val="auto"/>
                <w:vertAlign w:val="superscript"/>
              </w:rPr>
              <w:t>(3)</w:t>
            </w:r>
          </w:p>
        </w:tc>
        <w:tc>
          <w:tcPr>
            <w:tcW w:w="1380" w:type="dxa"/>
            <w:vAlign w:val="bottom"/>
            <w:gridSpan w:val="3"/>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227,693</w:t>
            </w:r>
            <w:r>
              <w:rPr>
                <w:rFonts w:ascii="Times New Roman" w:cs="Times New Roman" w:eastAsia="Times New Roman" w:hAnsi="Times New Roman"/>
                <w:sz w:val="25"/>
                <w:szCs w:val="25"/>
                <w:color w:val="auto"/>
                <w:vertAlign w:val="superscript"/>
              </w:rPr>
              <w:t>(3)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8/8/2033</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12/14/2023</w:t>
            </w: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12/14/2023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378,644</w:t>
            </w:r>
            <w:r>
              <w:rPr>
                <w:rFonts w:ascii="Times New Roman" w:cs="Times New Roman" w:eastAsia="Times New Roman" w:hAnsi="Times New Roman"/>
                <w:sz w:val="26"/>
                <w:szCs w:val="26"/>
                <w:color w:val="auto"/>
                <w:vertAlign w:val="superscript"/>
              </w:rPr>
              <w:t>(3)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5.45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12/14/2033</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61"/>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vMerge w:val="restart"/>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2"/>
          </w:tcPr>
          <w:p>
            <w:pPr>
              <w:jc w:val="center"/>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4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36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5"/>
                <w:szCs w:val="15"/>
                <w:color w:val="auto"/>
              </w:rPr>
            </w:pP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7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360" w:type="dxa"/>
            <w:vAlign w:val="bottom"/>
            <w:gridSpan w:val="2"/>
          </w:tcPr>
          <w:p>
            <w:pPr>
              <w:jc w:val="center"/>
              <w:ind w:right="333"/>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9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Ivan Hyep, M.B.A.</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2/22/2021</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3/15/2021</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ind w:left="340"/>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20,836</w:t>
            </w:r>
          </w:p>
        </w:tc>
        <w:tc>
          <w:tcPr>
            <w:tcW w:w="400" w:type="dxa"/>
            <w:vAlign w:val="bottom"/>
            <w:tcBorders>
              <w:top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(4)</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113,634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11/19/2021</w:t>
            </w: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11/8/2021</w:t>
            </w:r>
          </w:p>
        </w:tc>
        <w:tc>
          <w:tcPr>
            <w:tcW w:w="920" w:type="dxa"/>
            <w:vAlign w:val="bottom"/>
            <w:gridSpan w:val="2"/>
            <w:shd w:val="clear" w:color="auto" w:fill="CCEEFF"/>
          </w:tcPr>
          <w:p>
            <w:pPr>
              <w:jc w:val="center"/>
              <w:ind w:left="180"/>
              <w:spacing w:after="0" w:line="216" w:lineRule="exact"/>
              <w:rPr>
                <w:sz w:val="20"/>
                <w:szCs w:val="20"/>
                <w:color w:val="auto"/>
              </w:rPr>
            </w:pPr>
            <w:r>
              <w:rPr>
                <w:rFonts w:ascii="Times New Roman" w:cs="Times New Roman" w:eastAsia="Times New Roman" w:hAnsi="Times New Roman"/>
                <w:sz w:val="17"/>
                <w:szCs w:val="17"/>
                <w:color w:val="auto"/>
                <w:w w:val="99"/>
              </w:rPr>
              <w:t>16,669</w:t>
            </w:r>
            <w:r>
              <w:rPr>
                <w:rFonts w:ascii="Times New Roman" w:cs="Times New Roman" w:eastAsia="Times New Roman" w:hAnsi="Times New Roman"/>
                <w:sz w:val="25"/>
                <w:szCs w:val="25"/>
                <w:color w:val="auto"/>
                <w:w w:val="99"/>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16,669</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11/19/2031</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10/4/2022</w:t>
            </w: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10/4/2022</w:t>
            </w:r>
          </w:p>
        </w:tc>
        <w:tc>
          <w:tcPr>
            <w:tcW w:w="920" w:type="dxa"/>
            <w:vAlign w:val="bottom"/>
            <w:gridSpan w:val="2"/>
            <w:shd w:val="clear" w:color="auto" w:fill="CCEEFF"/>
          </w:tcPr>
          <w:p>
            <w:pPr>
              <w:jc w:val="center"/>
              <w:ind w:left="180"/>
              <w:spacing w:after="0" w:line="216" w:lineRule="exact"/>
              <w:rPr>
                <w:sz w:val="20"/>
                <w:szCs w:val="20"/>
                <w:color w:val="auto"/>
              </w:rPr>
            </w:pPr>
            <w:r>
              <w:rPr>
                <w:rFonts w:ascii="Times New Roman" w:cs="Times New Roman" w:eastAsia="Times New Roman" w:hAnsi="Times New Roman"/>
                <w:sz w:val="17"/>
                <w:szCs w:val="17"/>
                <w:color w:val="auto"/>
                <w:w w:val="99"/>
              </w:rPr>
              <w:t>16,227</w:t>
            </w:r>
            <w:r>
              <w:rPr>
                <w:rFonts w:ascii="Times New Roman" w:cs="Times New Roman" w:eastAsia="Times New Roman" w:hAnsi="Times New Roman"/>
                <w:sz w:val="25"/>
                <w:szCs w:val="25"/>
                <w:color w:val="auto"/>
                <w:w w:val="99"/>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48,682</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10/4/2032</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4/5/2023</w:t>
            </w: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4/5/2023</w:t>
            </w:r>
          </w:p>
        </w:tc>
        <w:tc>
          <w:tcPr>
            <w:tcW w:w="920" w:type="dxa"/>
            <w:vAlign w:val="bottom"/>
            <w:gridSpan w:val="2"/>
            <w:shd w:val="clear" w:color="auto" w:fill="CCEEFF"/>
          </w:tcPr>
          <w:p>
            <w:pPr>
              <w:jc w:val="center"/>
              <w:ind w:left="180"/>
              <w:spacing w:after="0" w:line="216" w:lineRule="exact"/>
              <w:rPr>
                <w:sz w:val="20"/>
                <w:szCs w:val="20"/>
                <w:color w:val="auto"/>
              </w:rPr>
            </w:pPr>
            <w:r>
              <w:rPr>
                <w:rFonts w:ascii="Times New Roman" w:cs="Times New Roman" w:eastAsia="Times New Roman" w:hAnsi="Times New Roman"/>
                <w:sz w:val="17"/>
                <w:szCs w:val="17"/>
                <w:color w:val="auto"/>
                <w:w w:val="99"/>
              </w:rPr>
              <w:t>11,224</w:t>
            </w:r>
            <w:r>
              <w:rPr>
                <w:rFonts w:ascii="Times New Roman" w:cs="Times New Roman" w:eastAsia="Times New Roman" w:hAnsi="Times New Roman"/>
                <w:sz w:val="25"/>
                <w:szCs w:val="25"/>
                <w:color w:val="auto"/>
                <w:w w:val="99"/>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78,568</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4/5/2033</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8/8/2023</w:t>
            </w: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8/8/2023</w:t>
            </w:r>
          </w:p>
        </w:tc>
        <w:tc>
          <w:tcPr>
            <w:tcW w:w="920" w:type="dxa"/>
            <w:vAlign w:val="bottom"/>
            <w:gridSpan w:val="2"/>
            <w:shd w:val="clear" w:color="auto" w:fill="CCEEFF"/>
          </w:tcPr>
          <w:p>
            <w:pPr>
              <w:jc w:val="center"/>
              <w:ind w:left="180"/>
              <w:spacing w:after="0" w:line="216" w:lineRule="exact"/>
              <w:rPr>
                <w:sz w:val="20"/>
                <w:szCs w:val="20"/>
                <w:color w:val="auto"/>
              </w:rPr>
            </w:pPr>
            <w:r>
              <w:rPr>
                <w:rFonts w:ascii="Times New Roman" w:cs="Times New Roman" w:eastAsia="Times New Roman" w:hAnsi="Times New Roman"/>
                <w:sz w:val="17"/>
                <w:szCs w:val="17"/>
                <w:color w:val="auto"/>
                <w:w w:val="99"/>
              </w:rPr>
              <w:t>11,798</w:t>
            </w:r>
            <w:r>
              <w:rPr>
                <w:rFonts w:ascii="Times New Roman" w:cs="Times New Roman" w:eastAsia="Times New Roman" w:hAnsi="Times New Roman"/>
                <w:sz w:val="25"/>
                <w:szCs w:val="25"/>
                <w:color w:val="auto"/>
                <w:w w:val="99"/>
                <w:vertAlign w:val="superscript"/>
              </w:rPr>
              <w:t>(3)</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176,982</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8/8/2033</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12/14/2023</w:t>
            </w: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12/14/2023</w:t>
            </w:r>
          </w:p>
        </w:tc>
        <w:tc>
          <w:tcPr>
            <w:tcW w:w="9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8"/>
                <w:szCs w:val="18"/>
                <w:color w:val="auto"/>
                <w:w w:val="81"/>
              </w:rPr>
              <w:t>— </w:t>
            </w:r>
          </w:p>
        </w:tc>
        <w:tc>
          <w:tcPr>
            <w:tcW w:w="138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281,278</w:t>
            </w:r>
            <w:r>
              <w:rPr>
                <w:rFonts w:ascii="Times New Roman" w:cs="Times New Roman" w:eastAsia="Times New Roman" w:hAnsi="Times New Roman"/>
                <w:sz w:val="25"/>
                <w:szCs w:val="25"/>
                <w:color w:val="auto"/>
                <w:vertAlign w:val="superscript"/>
              </w:rPr>
              <w:t>(3)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12/14/2033</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equity award was granted pursuant to and is subject to the terms of the 2019 Plan (as described below).</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based on the fair market value of a share of our common stock of $5.45 as of December 31, 2023, as determined by our board of directors.</w:t>
      </w:r>
    </w:p>
    <w:p>
      <w:pPr>
        <w:jc w:val="both"/>
        <w:ind w:left="540" w:right="20" w:hanging="424"/>
        <w:spacing w:after="0" w:line="25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stock option award or restricted stock award, as applicable, vest in 16 equal quarterly installments over a four-year period, commencing on the vesting commencement date, subject to the applicable NEO’s continued employment through the applicable vesting date. The award is also subject to certain accelerated vesting rights as set forth in the applicable NEO’s Amended Employment Agreement, as described above.</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3"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stock option award or restricted stock award, as applicable, vest as follows: 25% of such shares vested on the first anniversary of the vesting commencement date, and the remaining 75% of the shares vest in 12 equal quarterly installments over the following three years, subject to the applicable NEO’s continued employment through the applicable vesting date. The award is also subject to certain accelerated vesting rights as set forth in the applicable NEO’s Amended Employment Agreement, as described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Stock Option and Grant Plan</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2019 Plan was initially approved and adopted by our board of directors and stockholders on July 17, 2019 and has been subsequently amended from time to time thereafter to increase the number of shares reserved for issuance thereunder. Under the 2019 Plan, we have reserved an aggregate of 5,881,181 shares of our common stock for the issuance of stock options and other equity awards under the 2019 Plan. This number of shares of common stock reserved for issuance is subject to adjustment in the event of a stock split, stock dividend, or other change in our capitalization. As of June 30, 2024, options to purchase 4,621,209 shares of common stock and 14,006 shares of restricted stock were outstanding under the 2019 Plan. Our board of directors has determined not to make any further awards under the 2019 Plan following the closing of this offering, but all outstanding awards under the 2019 Plan will continue to be governed by their existing terms. The maximum number of shares that may be issued as incentive stock options under the 2019 Plan may not exceed 58,811,816 shares. In connection with this offering, we intend to adopt a new incentive equity plan under which we will grant equity-based awards following this offering, as described below under “</w:t>
      </w:r>
      <w:r>
        <w:rPr>
          <w:rFonts w:ascii="Times New Roman" w:cs="Times New Roman" w:eastAsia="Times New Roman" w:hAnsi="Times New Roman"/>
          <w:sz w:val="18"/>
          <w:szCs w:val="18"/>
          <w:i w:val="1"/>
          <w:iCs w:val="1"/>
          <w:color w:val="auto"/>
        </w:rPr>
        <w:t>2024 Stock Option and Grant Plan</w:t>
      </w:r>
      <w:r>
        <w:rPr>
          <w:rFonts w:ascii="Times New Roman" w:cs="Times New Roman" w:eastAsia="Times New Roman" w:hAnsi="Times New Roman"/>
          <w:sz w:val="18"/>
          <w:szCs w:val="18"/>
          <w:color w:val="auto"/>
        </w:rPr>
        <w:t>.” This summary is not a complete description of all provisions of the 2019 Plan and is qualified in its entirety by reference to the 2019 Plan, which will be filed as an exhibit to the registration statement of which this prospectus is part.</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underlying any awards that are forfeited, cancelled, reacquired by us prior to vesting, satisfied without the issuance of stock, or otherwise terminated (other than by exercise), or held back upon exercise or settlement of an award to satisfy the exercise price or tax withholding under the 2019 Plan are added back to the shares of common stock available for issuance under the 2019 Plan (and, following the completion of this offering, will be added back to the shares of common stock available for issuance under the 2024 Plan (as defined below)).</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2019 Plan. The administrator has full power to, among other things, select, from among the individuals eligible for awards, the individuals to whom awards will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be granted, to make any combination of awards to participants, to accelerate at any time the exercisability or vesting of any award, and to determine the specific terms and conditions of each award, subject to the provisions of the 2019 Plan. Persons eligible to participate in the 2019 Plan are those full or part-time officers, employees, non-employee directors, consultants, and key persons as selected from time to time by the administrator in its discretion.</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2019 Plan permits the granting of both options to purchase common stock intended to qualify as incentive stock options under Section 422 of the Code and options that do not so qualify. The option exercise price of each option will be determined by the administrator of the 2019 Plan but may not be less than 100% of the fair market value of our common stock on the date of grant, or in the case of an incentive stock option granted to a 10% owner, the exercise price shall not be less than 110% of the fair market value of our common stock on the date of grant. The term of each option is fixed by the 2019 Plan administrator and may not exceed ten years from the date of grant, or five years from the date of grant in the case of an incentive stock option granted to a 10% owner. The 2019 Plan administrator determines at what time or times each option may be exercised.</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2019 Plan administrator may award restricted shares of common stock and restricted stock units to participants subject to such conditions and restrictions as it may determine. These conditions and restrictions may include continued employment or other service relationship with us through a specified vesting period and/or the achievement of certain performance goals.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2019 Plan administrator may also grant shares of common stock that are free from any restrictions under the 2019 Plan. Unrestricted stock may be granted to participants in recognition of past services or for other valid consideration and may be issued in lieu of cash compensation due to such participant.</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certain corporate transactions and events, including a reorganization, recapitalization, reclassification, stock dividend, stock split, reverse stock split, or other similar change to the Company’s capital stock, the 2019 Plan administrator shall make appropriate adjustments to the maximum number of shares reserved for issuance under the 2019 Plan, the number and kind of securities subject to outstanding awards under the 2019 Plan, and the repurchase or exercise price of any outstanding awards under the 2019 Plan.</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the effective time of a “sale event” (as defined in the 2019 Plan), all outstanding option awards granted under the 2019 Plan and the 2019 Plan shall terminate unless assumed or continued by a successor entity. In the event of such termination, individuals holding options will be permitted to exercise such options within a specified period of time prior to the sale event. In the event of a sale event, all unvested restricted stock awards and restricted stock units (other than those that become vested as a result of the sale event) will be forfeited unless assumed or continued by a successor entity. With respect to individuals holding restricted stock that is forfeited upon a sale event, such restricted stock shall be repurchased by the Company at a price per share equal to the original per share purchase price paid by the holder for such shares of restricted stock. In addition, in connection a sale event, we may make or provide for a cash payment to participants in exchange for the cancellation of their options (to the extent then vested and exercisable, including by reason of acceleration in connection with such sale event) or outstanding restricted stock or restricted stock units, in an amount equal to the difference between (a) the per share consideration in the sale event times the number of shares subject to such awards being cancelled and (b) the aggregate price paid, or exercise price, as applicable, if any, of the awards.</w:t>
      </w:r>
    </w:p>
    <w:p>
      <w:pPr>
        <w:spacing w:after="0" w:line="19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may amend or discontinue the 2019 Plan and the 2019 Plan administrator may amend or cancel outstanding awards for purposes of satisfying changes in law or any other lawful purpose, but no such action may adversely affect rights under any outstanding award without the holder’s consent. Certain amendments to the 2019 Plan require the approval of our stockholders. The 2019 Plan administrator may exercise its discretion to reduce the exercise price of outstanding stock options or to effect repricing through the cancellation of outstanding stock options and grant of replacement awards.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awards may be granted under the 2019 Plan after the date that is ten years from the effective date of the 2019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and Grant Plan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2024 Stock Option and Grant Plan, or the 2024 Plan, was adopted by our board of directors on July 25, 2024, approved by our stockholders on September 5, 2024, and will become effective upon the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immediately preceding the date on which the registration statement of which this prospectus is part is declared effective by the SEC. The 2024 Plan will replace the 2019 Plan as our board of directors has determined not to make additional awards under the 2019 Plan following the closing of our initial public offering. However, the 2019 Plan will continue to govern outstanding equity awards granted thereunder. The 2024 Plan allows us to make equity-based and cash-based incentive awards to our officers, employees, directors and consultants. The following summary describes the material terms of the 2024 Plan. This summary is not a complete description of all provisions of the 2024 Plan and is qualified in its entirety by reference to the 2024 Plan, which will be filed as an exhibit to the registration statement to which this prospectus is a part.</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initially reserved 2,453,616 shares of our common stock for the issuance of awards under the 2024 Plan, or the Initial Limit. The 2024 Plan provides that the number of shares reserved and available for issuance under the 2024 Plan will automatically increase on January 1, 2025 and each January 1 thereafter during the term of the 2024 Plan, by (i) 5% of the sum of (A) the number of shares of our common stock issued and outstanding on the immediately preceding December 31, and (B) the number of shares of common stock issuable pursuant to the exercise of any outstanding pre-funded warrants to acquire such common stock for a nominal exercise price on the immediately preceding December 31 or (ii) such lesser number of shares as determined by our compensation committee, or the Annual Increase. The number of shares reserved under the 2024 Plan is subject to adjustment in the event of a stock split, stock dividend, or other change in our capitalization.</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shares we issue under the 2024 Plan will be authorized but unissued shares or shares that we reacquire. The shares of common stock underlying any awards under the 2024 Plan and the 2019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2024 Plan.</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in the form of incentive stock options shall not exceed the Initial Limit, cumulatively increased on January 1, 2025 and on each January 1 thereafter by the lesser of the Annual Increase for such year or 2,453,616 shares of common stock.</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grant date fair value of all awards made under our 2024 Plan and all other cash compensation paid by us to any non-employee director in any calendar year for services as a non-employee director shall not exceed $750,000; provided, however, that such amount shall be $1,000,000 for the calendar year in which the applicable non-employee director is initially elected or appointed to the board of directors.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2024 Plan will be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2024 Plan. Persons eligible to participate in the 2024 Plan will be those full or part-time officers, employees, non-employee directors, and consultants as selected from time to time by our compensation committee in its discretion.</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2024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U.S. income tax, or (iii) complies with or is exempt from Section 409A of the Code. The term of each option will be fixed by our compensation committee and may not exceed ten years from the date of grant (or five years in the case of certain incentive stock options). Our compensation committee will determine at what time or times each option may be exercised.</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under the 2024 Plan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generally may not be less than 100% of the fair market value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common stock on the date of grant unless the share appreciation right (i) is granted pursuant to a transaction described in, and in a manner consistent with, Section 424(a) of the Code, (ii) is granted to an individual who is not subject to U.S. income tax, or (iii) complies with or is exempt from Section 409A of the Code.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2024 Plan. Unrestricted stock may be granted to participants in recognition of past services or for other valid consideration and may be issued in lieu of cash compensation due to such participant.</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dividend equivalent rights to participants that entitle the recipient to receive credits for dividends that would be paid if the recipient had held a specified number of shares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may grant cash bonuses under the 2024 Plan to participants, subject to the achievement of certain performance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goals.</w:t>
      </w:r>
    </w:p>
    <w:p>
      <w:pPr>
        <w:spacing w:after="0" w:line="20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2024 Plan provides that upon the effectiveness of a “sale event,” as defined in the 2024 Plan, an acquirer or successor entity may assume, continue, or substitute outstanding awards under the 2024 Plan. To the extent that awards granted under the 2024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will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individuals holding options and stock appreciation rights will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and we may make or provide for a payment, in cash or in kind, to participants holding other vested awards.</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discontinue the 2024 Plan and our compensation committee may amend or cancel outstanding awards for purposes of satisfying changes in law or any other lawful purpose, but no such action may adversely affect rights under an award without the holder’s consent. Certain amendments to the 2024 Plan require the approval of our stockholders. The administrator of the 2024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2024 Plan after the date that is 10 years from the effective date of the 2024 Plan. No awards under the 2024 Plan have been made prior to the date of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2024 Employee Stock Purchase Plan, or the ESPP, was approved by our board of directors on July 25, 2024, approved by our stockholders on September 5, 2024, and will become effective on the date immediately preceding the date on which the registration statement of which this prospectus forms a part is declared effective by the SEC. The ESPP is intended to have two components: a component intended to qualify as an “employee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stock purchase plan” within the meaning of Section 423 of the Code, or the 423 Component and a component that is not intended to qualify, or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to which this prospectus is a part.</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ESPP initially reserves and authorizes the issuance of up to a total of 507,383 shares of our common stock to participating employees. The ESPP provides that the number of shares reserved and available for issuance will automatically increase on January 1, 2025 and each January 1 thereafter through January 1, 2034, by the least of (i) 1,014,766 shares of common stock, (ii) 1% of the sum of (A) the number of shares of our common stock issued and outstanding on the immediately preceding December 31, and (B) the number of shares of common stock issuable pursuant to the exercise of any outstanding, pre-funded warrants to acquire such common stock for a nominal exercise price on the immediately preceding December 31, or (iii) such number of shares of common stock as determined by the administrator of the ESPP. The number of shares reserved under the ESPP is subject to adjustment in the event of a stock split, stock dividend, or other change in our capitalization.</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All individuals classified as employees on the payroll records of the Company or a “designated company” (as defined in the ESPP) as of the first day of the applicable offering period, or the Offering Date, are eligible to participate in the ESPP; provided that the administrator of the ESPP may determine, in advance of any offering period, that employees are eligible only if, as of the Offering Date, they (a) are customarily employed by us or a designated company for more than 20 hours a week, (b) are customarily employed by us or a designated company for more than five months per calendar year, and/or (c) have completed at least a minimum period of employment as determined by the administrator of the ESPP, provided such service requirement does not exceed two years of employment). However, any employee who owns, or as a result of participation in the ESPP would own or hold, 5% or more of the total combined voting power or value of all classes of our stock will not be eligible to purchase shares of common stock under the ESPP.</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make one or more offerings each year to our employees to purchase shares under the ESPP. The offering periods under the ESPP will begin and end on the dates determined by the administrator of the ESPP; provided, that no offering will exceed 27 months in duration or overlap any other offering. Each eligible employee may elect to participate in any offering by submitting an enrollment form by such deadline as is established by the administrator of the ESPP.</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employee who is a participant in the ESPP may purchase shares of our common stock by authorizing payroll deductions of up to 15% of his or her eligible compensation during an offering period. Unless the participating employee has previously withdrawn from the offering, his or her accumulated payroll deductions will be used to purchase shares of our common stock on the last day of the offering period at a price equal to 85% of the fair market value of the shares of common stock on the first day or the last day of the offering period, whichever is lower, provided that no more than a number of shares of common stock determined by dividing $25,000 by the fair market value of our common stock on the offering date of such offering (or such other lesser number of shares as may be established by the administrator) may be purchased by any one employee during any offering period. Under applicable tax rules, an employee may purchase no more than $25,000 worth of shares of our common stock, valued at the start of the offering period, under the ESPP for each calendar year during which any option granted to the employee is outstanding at any time.</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or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ESPP may be terminated or amended by our board of directors at any time. An amendment that increases the number of shares of our common stock authorized under the ESPP and certain other amendments require the approval of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Incentive Bonus Plan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July 25, 2024, our board of directors adopted the Senior Executive Cash Incentive Bonus Plan, or Bonus Plan. The Bonus Plan provides for cash bonus payments based upon Company and individual performance targets established by our compensation committee. The payment targets will be related to financial and operational measures or objectives with respect to our Company, or corporate performance goals, as well as individual performance objectives. The following summary describes the material terms of the Bonus Plan. This summary is not a complete description of all provisions of the Bonus Plan and is qualified in its entirety by reference to the Bonus Plan, which is filed as an exhibit to the registration statement to which this prospectus is a part.</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compensation committee may select corporate performance goals from among the following: developmental, publication, clinical, commercial,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licenses, collaborations or strategic transactions; financing or other capital raising transactions; operating income (loss); return on capital, assets, equity or investment; stockholder returns; return on sales; total stockholder return; gross or net profit levels; productivity;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as compared to any incremental increase, (B) measured in terms of growth, as compared to results of a peer group, (C) measured against the market as a whole, compared to applicable market indices, and/or measured on a pre-tax or post-tax basis.</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performance period, but not later than 2.5 months after the end of the year in which such performance period ends. Subject to the rights contained in any agreement between the executive officer and us, an executive officer shall be required to be employed by us on the bonus payment date to be eligible to receive a bonus payment under the Bonus Plan. The Bonus Plan also permits the compensation committee to approve additional bonuses to executive officers in its sole discretion.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Grants to Named Executive Officers Prior to Our Initial Public Offering</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 August 2024, our board of directors approved option grants to certain employees of the Company, including our named executive officers, with Dr. Mazumdar, Dr. Cohlhepp, and Mr. Hyep being granted options to purchase 1,141,342, 513,874 and 378,644 shares of our common stock, respectively. The options were granted under our 2019 Plan and have an exercise price per share equal to $9.24. Subject to the completion of the initial public offering, which must occur no later than December 31, 2024, after which date these option grants shall be forfeited, the options will vest and become exercisable in sixteen (16) equal quarterly installments following their applicable vesting start date, in each case subject to the continued service relationship of the applicable named executive officer with the Company through each such vesting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Grants to Employees (Other than the NEOs)</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the offering, the Company has granted certain employees (not including the NEOs) options to purchase an aggregate of 55,977 shares of Company common stock (collectively, the “Employee IPO Grants”), which grants will be forfeited if our initial public offering does not occur by December 31, 2024. The Employee IPO Grants will each have an exercise price per share equal to the per share “price to the public” (or equivalent) set forth on the cover page for the final prospectus relating to our initial public offering, expire ten years from the date of grant and vest as follows: 25% on the first anniversary of the vesting commencement date (as set forth in the appliable option award agreement) and the remaining 75% in 12 equal quarterly installments thereafter, subject to the applicable employee’s continued service with the Company through each applicable vesting date.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person who served as a non-employee member of our board of directors for their services to us during the year ended December 31, 2023. Non-employee directors affiliated with TPG Life Sciences Innovations, Red Tree Venture Capital, RA Capital Management, F-Prime Capital, and Biocon, Ltd., including Drs. Ng, Lukatch, Simson, and Patel, and Ms. Mazumdar-Shaw, respectively, did not receive cash or equity compensation from us for their service as directors during 2023. Other than as set forth in the table and described more fully below, we did not pay any compensation, make any equity awards or non-equity awards to, or pay any other compensation to any of the non-employee members of our board of directors in 2023. During the year ended December 31, 2023, Drs. Mazumdar and Cohlhepp served as members of our board of directors and received no additional compensation for their services as members of our board of directors. The compensation for the year ended December 31, 2023 received by Drs. Mazumdar and Cohlhepp, as employees of the Company, is presented in the “</w:t>
      </w:r>
      <w:r>
        <w:rPr>
          <w:rFonts w:ascii="Times New Roman" w:cs="Times New Roman" w:eastAsia="Times New Roman" w:hAnsi="Times New Roman"/>
          <w:sz w:val="18"/>
          <w:szCs w:val="18"/>
          <w:i w:val="1"/>
          <w:iCs w:val="1"/>
          <w:color w:val="auto"/>
        </w:rPr>
        <w:t>2023 Summary Compensation Table</w:t>
      </w:r>
      <w:r>
        <w:rPr>
          <w:rFonts w:ascii="Times New Roman" w:cs="Times New Roman" w:eastAsia="Times New Roman" w:hAnsi="Times New Roman"/>
          <w:sz w:val="18"/>
          <w:szCs w:val="18"/>
          <w:color w:val="auto"/>
        </w:rPr>
        <w:t>” above. Dr. Cohlhepp resigned from our board of directors on March 2, 2023.</w:t>
      </w:r>
    </w:p>
    <w:p>
      <w:pPr>
        <w:spacing w:after="0" w:line="188"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August 2024, our board of directors approved option grants to certain members of our board of directors, with each of Ms. Haviland, Dr. Lonberg, Ms. Mazumdar-Shaw, Mr. Robertson, and Dr. Simson being granted options to purchase 23,746 shares of our common stock each, respectively, contingent on, and effective immediately following, the time the registration statement of which this prospectus is a part is declared effective by the SEC, or the IPO Effective Date, subject to the applicable directors’ continuous service with the Company through such date and the IPO Effective Date occurring no later than December 31, 2024. The options will be granted under our 2024 Plan and have an exercise price per share equal to an exercise price per share equal to the per share “price to the public” (or equivalent) set forth on the cover page for the final prospectus relating to the Company’s initial public offering, which will be the fair market value of a share of our common stock on the grant date of the option. Subject to the applicable directors’ continued service relationship with us, the options will vest in full and become exercisable on the earlier of (i) our next annual meeting of stockholders following our initial public offering or (ii) the one-year anniversary of the grant. Such option grants will become fully vested and exercisable upon a sale of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Name (1)</w:t>
            </w:r>
          </w:p>
        </w:tc>
        <w:tc>
          <w:tcPr>
            <w:tcW w:w="5340" w:type="dxa"/>
            <w:vAlign w:val="bottom"/>
            <w:vMerge w:val="restart"/>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60" w:type="dxa"/>
            <w:vAlign w:val="bottom"/>
            <w:gridSpan w:val="2"/>
            <w:vMerge w:val="continue"/>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6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150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Cash($)</w:t>
            </w:r>
            <w:r>
              <w:rPr>
                <w:rFonts w:ascii="Times New Roman" w:cs="Times New Roman" w:eastAsia="Times New Roman" w:hAnsi="Times New Roman"/>
                <w:sz w:val="14"/>
                <w:szCs w:val="14"/>
                <w:color w:val="auto"/>
                <w:w w:val="97"/>
                <w:vertAlign w:val="superscript"/>
              </w:rPr>
              <w:t>(1)</w:t>
            </w:r>
          </w:p>
        </w:tc>
        <w:tc>
          <w:tcPr>
            <w:tcW w:w="920" w:type="dxa"/>
            <w:vAlign w:val="bottom"/>
          </w:tcPr>
          <w:p>
            <w:pPr>
              <w:jc w:val="right"/>
              <w:ind w:right="235"/>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color w:val="auto"/>
              </w:rPr>
              <w:t>(2)</w:t>
            </w:r>
          </w:p>
        </w:tc>
        <w:tc>
          <w:tcPr>
            <w:tcW w:w="5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5"/>
              </w:rPr>
              <w:t>($)</w:t>
            </w:r>
            <w:r>
              <w:rPr>
                <w:rFonts w:ascii="Times New Roman" w:cs="Times New Roman" w:eastAsia="Times New Roman" w:hAnsi="Times New Roman"/>
                <w:sz w:val="14"/>
                <w:szCs w:val="14"/>
                <w:color w:val="auto"/>
                <w:w w:val="95"/>
                <w:vertAlign w:val="superscript"/>
              </w:rPr>
              <w:t>(3)</w:t>
            </w:r>
          </w:p>
        </w:tc>
        <w:tc>
          <w:tcPr>
            <w:tcW w:w="5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Kate Haviland, M.B.A.</w:t>
            </w:r>
            <w:r>
              <w:rPr>
                <w:rFonts w:ascii="Times New Roman" w:cs="Times New Roman" w:eastAsia="Times New Roman" w:hAnsi="Times New Roman"/>
                <w:sz w:val="23"/>
                <w:szCs w:val="23"/>
                <w:color w:val="auto"/>
                <w:vertAlign w:val="superscript"/>
              </w:rPr>
              <w:t>(4)(5)</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165,904</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175,904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 Stephen Hodi, M.D.</w:t>
            </w:r>
            <w:r>
              <w:rPr>
                <w:rFonts w:ascii="Times New Roman" w:cs="Times New Roman" w:eastAsia="Times New Roman" w:hAnsi="Times New Roman"/>
                <w:sz w:val="25"/>
                <w:szCs w:val="25"/>
                <w:color w:val="auto"/>
                <w:vertAlign w:val="superscript"/>
              </w:rPr>
              <w:t>(4)(6)</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Vijay Kuchroo, D.V.M., Ph.D.</w:t>
            </w:r>
            <w:r>
              <w:rPr>
                <w:rFonts w:ascii="Times New Roman" w:cs="Times New Roman" w:eastAsia="Times New Roman" w:hAnsi="Times New Roman"/>
                <w:sz w:val="25"/>
                <w:szCs w:val="25"/>
                <w:color w:val="auto"/>
                <w:vertAlign w:val="superscript"/>
              </w:rPr>
              <w:t>(4)</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120,657</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150,657</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Nils Lonberg, Ph.D.</w:t>
            </w:r>
            <w:r>
              <w:rPr>
                <w:rFonts w:ascii="Times New Roman" w:cs="Times New Roman" w:eastAsia="Times New Roman" w:hAnsi="Times New Roman"/>
                <w:sz w:val="25"/>
                <w:szCs w:val="25"/>
                <w:color w:val="auto"/>
                <w:vertAlign w:val="superscript"/>
              </w:rPr>
              <w:t>(4)</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120,657</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150,657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Heath Lukatch, Ph.D.</w:t>
            </w:r>
            <w:r>
              <w:rPr>
                <w:rFonts w:ascii="Times New Roman" w:cs="Times New Roman" w:eastAsia="Times New Roman" w:hAnsi="Times New Roman"/>
                <w:sz w:val="25"/>
                <w:szCs w:val="25"/>
                <w:color w:val="auto"/>
                <w:vertAlign w:val="superscript"/>
              </w:rPr>
              <w:t>(4)(7)</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Kiran Mazumdar-Shaw</w:t>
            </w:r>
            <w:r>
              <w:rPr>
                <w:rFonts w:ascii="Times New Roman" w:cs="Times New Roman" w:eastAsia="Times New Roman" w:hAnsi="Times New Roman"/>
                <w:sz w:val="25"/>
                <w:szCs w:val="25"/>
                <w:color w:val="auto"/>
                <w:vertAlign w:val="superscript"/>
              </w:rPr>
              <w:t>(4)</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Carolyn Ng, Ph.D.</w:t>
            </w:r>
            <w:r>
              <w:rPr>
                <w:rFonts w:ascii="Times New Roman" w:cs="Times New Roman" w:eastAsia="Times New Roman" w:hAnsi="Times New Roman"/>
                <w:sz w:val="25"/>
                <w:szCs w:val="25"/>
                <w:color w:val="auto"/>
                <w:vertAlign w:val="superscript"/>
              </w:rPr>
              <w:t>(4)(8)</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Ketan Patel, M.D., M.B.A.</w:t>
            </w:r>
            <w:r>
              <w:rPr>
                <w:rFonts w:ascii="Times New Roman" w:cs="Times New Roman" w:eastAsia="Times New Roman" w:hAnsi="Times New Roman"/>
                <w:sz w:val="25"/>
                <w:szCs w:val="25"/>
                <w:color w:val="auto"/>
                <w:vertAlign w:val="superscript"/>
              </w:rPr>
              <w:t>(4)(9)(11)</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Krishna Polu, M.D.</w:t>
            </w:r>
            <w:r>
              <w:rPr>
                <w:rFonts w:ascii="Times New Roman" w:cs="Times New Roman" w:eastAsia="Times New Roman" w:hAnsi="Times New Roman"/>
                <w:sz w:val="25"/>
                <w:szCs w:val="25"/>
                <w:color w:val="auto"/>
                <w:vertAlign w:val="superscript"/>
              </w:rPr>
              <w:t>(4)(10)</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Robertson, M.B.A.</w:t>
            </w:r>
            <w:r>
              <w:rPr>
                <w:rFonts w:ascii="Times New Roman" w:cs="Times New Roman" w:eastAsia="Times New Roman" w:hAnsi="Times New Roman"/>
                <w:sz w:val="25"/>
                <w:szCs w:val="25"/>
                <w:color w:val="auto"/>
                <w:vertAlign w:val="superscript"/>
              </w:rPr>
              <w:t>(4)(5)</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165,904</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175,904</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Jake Simson, Ph.D.</w:t>
            </w:r>
            <w:r>
              <w:rPr>
                <w:rFonts w:ascii="Times New Roman" w:cs="Times New Roman" w:eastAsia="Times New Roman" w:hAnsi="Times New Roman"/>
                <w:sz w:val="25"/>
                <w:szCs w:val="25"/>
                <w:color w:val="auto"/>
                <w:vertAlign w:val="superscript"/>
              </w:rPr>
              <w:t>(4)(9)</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cash fees each director received for their services to our board of directors during the year ended December 31, 2023.</w:t>
      </w:r>
    </w:p>
    <w:p>
      <w:pPr>
        <w:jc w:val="both"/>
        <w:ind w:left="540" w:right="20" w:hanging="424"/>
        <w:spacing w:after="0" w:line="255"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options awarded to our directors during the fiscal year ended December 31, 2023, calculated in accordance with FASB ASC Topic 718, disregarding estimated forfeitures related to service-based vesting. For a description of the assumptions used in determining these values, see Note 11 of our consolidated financial statements included elsewhere in this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prospectus. The amount reported in this column reflects the accounting cost for the option and does not correspond to the actual economic value that may be received by our directors upon the exercise of the option or any sale of the underlying shares.</w:t>
      </w:r>
    </w:p>
    <w:p>
      <w:pPr>
        <w:jc w:val="both"/>
        <w:ind w:left="540" w:right="2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cash fees paid to Dr. Hodi for services as Chairman of the Company’s Scientific Advisory Board in 2023. Pursuant to the terms of the Scientific Advisory Board Letter in effect with Dr. Hodi in 2023, Dr. Hodi was entitled to compensation of $110 per hour for services as Chair of the Scientific Advisory Board but not to exceed $1,667 per month.</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Drs. Ng, Lukatch, Simson, Polu, and Patel did not hold any outstanding equity awards, and Ms. Haviland and Mr. Robertson did not hold any restricted stock. As of December 31, 2023, Drs. Hodi, Kuchroo, and Lonberg, Messes. Haviland and Mazumdar-Shaw and Mr. Robertson held outstanding options to purchase an aggregate of 11,112; 57,164; 49,003; 59,501; 8,334; and 59,501 shares of our common stock, respectively, and Drs. Hodi, Kuchroo, and Lonberg, and Ms. Mazumdar-Shaw held 1,389; 1,736; 1,041; and 1,041 shares of restricted stock, respectively.</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Haviland and Mr. Robertson were appointed to our board of directors on September 21,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Hodi resigned from our board of directors on March 2,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Lukatch was appointed to our board of directors on August 3,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Ng was appointed to our board of directors on December 6,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Simson and Patel were appointed to our board of directors on March 2,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Polu resigned from our board of directors on August 3,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Patel resigned from our board of directors effective August 21, 2024 and is now a board observer.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Engagement Letters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director engagement letters with Drs. Kuchroo, Lonberg, and Mazumdar, Messes. Mazumdar-Shaw and Haviland, and Mr. Robertson. Pursuant to these engagement letters, each such director received an initial stock option grant that vests in 16 equal quarterly installments over four years. In addition, pursuant to his or her respective director engagement letter, during 2023, Ms. Haviland and Mr. Robertson were each entitled to receive an annual cash retainer of $40,000 and Drs. Kuchroo and Lonberg were each entitled to receive an annual cash retainer of $30,000. The annual retainer for each of Drs. Kuchroo and Lonberg was increased to $40,000 effective September 22, 2023. Annual cash retainers are paid quarterly in arrears. Each director is eligible to receive reimbursement for their reasonable expenses incurred in attending board of directors meetings in accordance with our generally applicable reimbursement policies.</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Effective as of April 5, 2023 and for the remainder of 2023, we were party to a Scientific Advisory Board Letter with Dr. Hodi, pursuant to which he was entitled to compensation of $110 per hour for services as Chair of the Scientific Advisory Board, not to exceed $1,667 per month.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our board of directors adopted a non-employee director compensation policy, to be effective as of the date on which the registration statement of which this prospectus is part is declared effective by the SEC. The policy will be designed to enable us to attract and retain, on a long-term basis, highly qualified non-employee directors. Under the policy, our non-employee directors will be eligible to receive cash retainers (which will be payable quarterly in arrears and prorated for partial years of service) and equity awards as set forth below:</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tc>
        <w:tc>
          <w:tcPr>
            <w:tcW w:w="5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w:t>
            </w:r>
          </w:p>
        </w:tc>
        <w:tc>
          <w:tcPr>
            <w:tcW w:w="5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20,000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retainer for lead independent director</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tc>
        <w:tc>
          <w:tcPr>
            <w:tcW w:w="5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5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15,000</w:t>
            </w:r>
          </w:p>
        </w:tc>
      </w:tr>
      <w:tr>
        <w:trPr>
          <w:trHeight w:val="346"/>
        </w:trPr>
        <w:tc>
          <w:tcPr>
            <w:tcW w:w="4880" w:type="dxa"/>
            <w:vAlign w:val="bottom"/>
          </w:tcPr>
          <w:p>
            <w:pPr>
              <w:spacing w:after="0"/>
              <w:rPr>
                <w:sz w:val="24"/>
                <w:szCs w:val="24"/>
                <w:color w:val="auto"/>
              </w:rPr>
            </w:pPr>
          </w:p>
        </w:tc>
        <w:tc>
          <w:tcPr>
            <w:tcW w:w="5560" w:type="dxa"/>
            <w:vAlign w:val="bottom"/>
          </w:tcPr>
          <w:p>
            <w:pPr>
              <w:jc w:val="right"/>
              <w:ind w:right="4710"/>
              <w:spacing w:after="0"/>
              <w:rPr>
                <w:sz w:val="20"/>
                <w:szCs w:val="20"/>
                <w:color w:val="auto"/>
              </w:rPr>
            </w:pPr>
            <w:r>
              <w:rPr>
                <w:rFonts w:ascii="Times New Roman" w:cs="Times New Roman" w:eastAsia="Times New Roman" w:hAnsi="Times New Roman"/>
                <w:sz w:val="18"/>
                <w:szCs w:val="18"/>
                <w:color w:val="auto"/>
              </w:rPr>
              <w:t>179</w:t>
            </w:r>
          </w:p>
        </w:tc>
        <w:tc>
          <w:tcPr>
            <w:tcW w:w="5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83" w:name="page184"/>
    <w:bookmarkEnd w:id="1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3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r>
      <w:tr>
        <w:trPr>
          <w:trHeight w:val="324"/>
        </w:trPr>
        <w:tc>
          <w:tcPr>
            <w:tcW w:w="1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4"/>
        </w:trPr>
        <w:tc>
          <w:tcPr>
            <w:tcW w:w="1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bl>
    <w:p>
      <w:pPr>
        <w:spacing w:after="0" w:line="17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each non-employee director who was a director as of August 1, 2024 and is serving as a member of the board of directors at such time will receive an Annual Award (as defined below), or IPO Award. IPO Awards will have an exercise price per share equal to the per share “price to the public” (or equivalent) set forth on the cover page for the final prospectus relating to the Company’s initial public offering, expire ten years from the date of grant and vest in full on the earlier of (A) the one-year anniversary of the grant date or (B) the next Annual Meeting of Stockholders, subject to continued service through the applicable vesting period.</w:t>
      </w:r>
    </w:p>
    <w:p>
      <w:pPr>
        <w:spacing w:after="0" w:line="183"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In addition, the non-employee director compensation policy provides that, upon initial election or appointment to our board of directors, each non-employee director will be granted a one-time stock option award to purchase 47,492 shares of our common stock, or Initial Award. The Initial Award will vest over three years from the grant date, with one-third vesting on the first anniversary of the grant date and the remainder vesting in equal monthly installments thereafter, subject to continued service through the applicable vesting date. The Initial Award will expire ten years from the date of grant and have an exercise price per share equal to the fair market value of our common stock on the date of grant.</w:t>
      </w:r>
    </w:p>
    <w:p>
      <w:pPr>
        <w:spacing w:after="0" w:line="18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Furthermore, on the date of each annual meeting of stockholders following the completion of this offering, each non-employee director (other than a director receiving an Initial Award) who continues as a non-employee director following such meeting will be granted an annual stock option award to purchase 23,746 shares of our common stock, or Annual Award. The Annual Award will vest on the earlier of (i) the one-year anniversary of the grant date or (ii) the next Annual Meeting of Stockholders, subject to continued service through the applicable vesting date. The Annual Award will expire ten years from the date of grant and have an exercise price per share equal to the fair market value of our common stock on the date of grant. Following the offering, if a non-employee director joins the board of directors on a date other than the date of our Annual Meeting of Stockholders, then, at the next Annual Meeting of Stockholders, in lieu of the Annual Award, such director will be granted a pro-rata portion of the Annual Award based on the number of full months between such director’s initial election or appointment and the such Annual Meeting of Stockholders.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IPO Award, Initial Award and the Annual Award are subject to full accelerated vesting upon the sale of the Company.</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 as a non-employee director in a calendar year period will not exceed $1,000,000 in the first calendar year such individual becomes a non-employee director and $750,000 in any other calendar year.</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our board of directors or any committee thereof.</w:t>
      </w: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46"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2021, to which we were or will be a party, in which:</w:t>
      </w:r>
    </w:p>
    <w:p>
      <w:pPr>
        <w:spacing w:after="0" w:line="131" w:lineRule="exact"/>
        <w:rPr>
          <w:sz w:val="20"/>
          <w:szCs w:val="20"/>
          <w:color w:val="auto"/>
        </w:rPr>
      </w:pPr>
    </w:p>
    <w:p>
      <w:pPr>
        <w:ind w:left="1080" w:right="2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the Company’s total assets for the last two completed fiscal years;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Compensation arrangements for our named executive officers and our directors are described elsewhere in this prospectus under the sections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of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March 2022, we entered into several simple agreements for future equity, or the SAFEs, pursuant to which we received approximately $5.4 million in exchange for our agreement to issue certain investors shares of our preferred stock upon the occurrence of subsequent financings of our preferred stock. The following table summarizes purchases of SAFEs by related persons: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430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Affiliated Director(s) or Officer(s)</w:t>
            </w:r>
          </w:p>
        </w:tc>
        <w:tc>
          <w:tcPr>
            <w:tcW w:w="3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03"/>
        </w:trPr>
        <w:tc>
          <w:tcPr>
            <w:tcW w:w="5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Glentech International</w:t>
            </w:r>
            <w:r>
              <w:rPr>
                <w:rFonts w:ascii="Times New Roman" w:cs="Times New Roman" w:eastAsia="Times New Roman" w:hAnsi="Times New Roman"/>
                <w:sz w:val="23"/>
                <w:szCs w:val="23"/>
                <w:color w:val="auto"/>
                <w:vertAlign w:val="superscript"/>
              </w:rPr>
              <w:t>(1)</w:t>
            </w:r>
          </w:p>
        </w:tc>
        <w:tc>
          <w:tcPr>
            <w:tcW w:w="4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Kiran Mazumdar-Shaw</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Carica Investments</w:t>
            </w:r>
            <w:r>
              <w:rPr>
                <w:rFonts w:ascii="Times New Roman" w:cs="Times New Roman" w:eastAsia="Times New Roman" w:hAnsi="Times New Roman"/>
                <w:sz w:val="25"/>
                <w:szCs w:val="25"/>
                <w:color w:val="auto"/>
                <w:vertAlign w:val="superscript"/>
              </w:rPr>
              <w:t>(2)</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Kiran Mazumdar-Shaw</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2,000,000.00</w:t>
            </w:r>
          </w:p>
        </w:tc>
      </w:tr>
      <w:tr>
        <w:trPr>
          <w:trHeight w:val="216"/>
        </w:trPr>
        <w:tc>
          <w:tcPr>
            <w:tcW w:w="5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Mazumdar</w:t>
            </w:r>
            <w:r>
              <w:rPr>
                <w:rFonts w:ascii="Times New Roman" w:cs="Times New Roman" w:eastAsia="Times New Roman" w:hAnsi="Times New Roman"/>
                <w:sz w:val="25"/>
                <w:szCs w:val="25"/>
                <w:color w:val="auto"/>
                <w:vertAlign w:val="superscript"/>
              </w:rPr>
              <w:t>(3)</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Claire Mazumdar, Ph.D.</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 private company limited by shares of which Ms. Mazumdar-Shaw, a member of our board of directors, is the managing member.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 partnership firm of which Ms. Mazumdar-Shaw, a member of our board of directors, is the managing partner.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is the brother of Dr. Mazumdar, our Chief Executive Officer and a member of our board of directors.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Seed Extension Preferred Stock Financings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Closing</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April 2022, in connection with the initial closing of our Series Seed Extension preferred stock financing, we sold an aggregate of 25,940,144 shares of our Series Seed preferred stock at a purchase price of $1.00 per share for an aggregate purchase price of approximately $25.9 million (inclusive of approximately $10.0 million in outstanding principal and accrued interest of the Biocon Loan (as defined below) and $5.4 million of the SAFEs, which were converted into shares of Series Seed preferred stock). Each share of our Series Seed preferred stock will automatically convert into approximately 0.1082 shares of our common stock immediately prior to the completion of this offering. The following table summarizes purchases of our Series Seed preferred stock by related persons: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Series Seed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30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22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0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Biocon Pharma Inc.</w:t>
            </w:r>
            <w:r>
              <w:rPr>
                <w:rFonts w:ascii="Times New Roman" w:cs="Times New Roman" w:eastAsia="Times New Roman" w:hAnsi="Times New Roman"/>
                <w:sz w:val="23"/>
                <w:szCs w:val="23"/>
                <w:color w:val="auto"/>
                <w:vertAlign w:val="superscript"/>
              </w:rPr>
              <w:t>(1)</w:t>
            </w:r>
          </w:p>
        </w:tc>
        <w:tc>
          <w:tcPr>
            <w:tcW w:w="22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Kiran Mazumdar-Shaw</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9,990,144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9,990,144.00</w:t>
            </w:r>
          </w:p>
        </w:tc>
        <w:tc>
          <w:tcPr>
            <w:tcW w:w="260" w:type="dxa"/>
            <w:vAlign w:val="bottom"/>
            <w:tcBorders>
              <w:top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2"/>
              </w:rPr>
              <w:t>(6)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5"/>
                <w:szCs w:val="25"/>
                <w:color w:val="auto"/>
                <w:vertAlign w:val="superscript"/>
              </w:rPr>
              <w:t>(2)</w:t>
            </w:r>
          </w:p>
        </w:tc>
        <w:tc>
          <w:tcPr>
            <w:tcW w:w="22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Glentech International</w:t>
            </w:r>
            <w:r>
              <w:rPr>
                <w:rFonts w:ascii="Times New Roman" w:cs="Times New Roman" w:eastAsia="Times New Roman" w:hAnsi="Times New Roman"/>
                <w:sz w:val="25"/>
                <w:szCs w:val="25"/>
                <w:color w:val="auto"/>
                <w:vertAlign w:val="superscript"/>
              </w:rPr>
              <w:t>(3)</w:t>
            </w:r>
          </w:p>
        </w:tc>
        <w:tc>
          <w:tcPr>
            <w:tcW w:w="2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Kiran Mazumdar-Shaw</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3"/>
              <w:spacing w:after="0" w:line="216" w:lineRule="exact"/>
              <w:rPr>
                <w:sz w:val="20"/>
                <w:szCs w:val="20"/>
                <w:color w:val="auto"/>
              </w:rPr>
            </w:pPr>
            <w:r>
              <w:rPr>
                <w:rFonts w:ascii="Times New Roman" w:cs="Times New Roman" w:eastAsia="Times New Roman" w:hAnsi="Times New Roman"/>
                <w:sz w:val="17"/>
                <w:szCs w:val="17"/>
                <w:color w:val="auto"/>
              </w:rPr>
              <w:t>2,000,000.00</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Carica Investments</w:t>
            </w:r>
            <w:r>
              <w:rPr>
                <w:rFonts w:ascii="Times New Roman" w:cs="Times New Roman" w:eastAsia="Times New Roman" w:hAnsi="Times New Roman"/>
                <w:sz w:val="25"/>
                <w:szCs w:val="25"/>
                <w:color w:val="auto"/>
                <w:vertAlign w:val="superscript"/>
              </w:rPr>
              <w:t>(4)</w:t>
            </w:r>
          </w:p>
        </w:tc>
        <w:tc>
          <w:tcPr>
            <w:tcW w:w="2220" w:type="dxa"/>
            <w:vAlign w:val="bottom"/>
          </w:tcPr>
          <w:p>
            <w:pPr>
              <w:spacing w:after="0"/>
              <w:rPr>
                <w:sz w:val="18"/>
                <w:szCs w:val="18"/>
                <w:color w:val="auto"/>
              </w:rPr>
            </w:pP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Kiran Mazumdar-Shaw</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3"/>
              <w:spacing w:after="0" w:line="216" w:lineRule="exact"/>
              <w:rPr>
                <w:sz w:val="20"/>
                <w:szCs w:val="20"/>
                <w:color w:val="auto"/>
              </w:rPr>
            </w:pPr>
            <w:r>
              <w:rPr>
                <w:rFonts w:ascii="Times New Roman" w:cs="Times New Roman" w:eastAsia="Times New Roman" w:hAnsi="Times New Roman"/>
                <w:sz w:val="17"/>
                <w:szCs w:val="17"/>
                <w:color w:val="auto"/>
              </w:rPr>
              <w:t>2,000,000.00</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Mazumdar</w:t>
            </w:r>
            <w:r>
              <w:rPr>
                <w:rFonts w:ascii="Times New Roman" w:cs="Times New Roman" w:eastAsia="Times New Roman" w:hAnsi="Times New Roman"/>
                <w:sz w:val="25"/>
                <w:szCs w:val="25"/>
                <w:color w:val="auto"/>
                <w:vertAlign w:val="superscript"/>
              </w:rPr>
              <w:t>(5)</w:t>
            </w:r>
          </w:p>
        </w:tc>
        <w:tc>
          <w:tcPr>
            <w:tcW w:w="2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Claire Mazumdar, Ph.D.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3"/>
              <w:spacing w:after="0" w:line="216" w:lineRule="exact"/>
              <w:rPr>
                <w:sz w:val="20"/>
                <w:szCs w:val="20"/>
                <w:color w:val="auto"/>
              </w:rPr>
            </w:pPr>
            <w:r>
              <w:rPr>
                <w:rFonts w:ascii="Times New Roman" w:cs="Times New Roman" w:eastAsia="Times New Roman" w:hAnsi="Times New Roman"/>
                <w:sz w:val="17"/>
                <w:szCs w:val="17"/>
                <w:color w:val="auto"/>
              </w:rPr>
              <w:t>150,000.00</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line="261"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Biocon Limited, which holds five percent or more of our capital stock. Ms. Mazumdar-Shaw is Executive Chairperson at Biocon Limited and a member of our board of directors.</w:t>
      </w: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 private company limited by shares of which Ms. Mazumdar-Shaw, a member of our board of directors, is the managing member.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 partnership firm of which Ms. Mazumdar-Shaw, a member of our board of directors, is the managing partner.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is the brother of Dr. Mazumdar, our Chief Executive Officer and a member of our board of directors.</w:t>
      </w:r>
    </w:p>
    <w:p>
      <w:pPr>
        <w:spacing w:after="0" w:line="9"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consideration. Balances in the amounts listed above under convertible agreements or SAFEs with the Company were exchanged for Series Seed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Closing</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July 2022, in connection with the second closing of our Series Seed Extension preferred stock financing, we sold an aggregate of 5,600,000 shares of our Series Seed preferred stock at a purchase price of $1.00 per share for an aggregate purchase price of $5.6 million. Each share of our Series Seed preferred stock will automatically convert into approximately 0.1082 shares of our common stock immediately prior to the completion of this offering. The following table summarizes purchases of our Series Seed preferred stock by related persons: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Series Seed</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340" w:type="dxa"/>
            <w:vAlign w:val="bottom"/>
            <w:vMerge w:val="restart"/>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22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1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Glentech International</w:t>
            </w:r>
            <w:r>
              <w:rPr>
                <w:rFonts w:ascii="Times New Roman" w:cs="Times New Roman" w:eastAsia="Times New Roman" w:hAnsi="Times New Roman"/>
                <w:sz w:val="23"/>
                <w:szCs w:val="23"/>
                <w:color w:val="auto"/>
                <w:vertAlign w:val="superscript"/>
              </w:rPr>
              <w:t>(1)</w:t>
            </w:r>
          </w:p>
        </w:tc>
        <w:tc>
          <w:tcPr>
            <w:tcW w:w="19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Kiran Mazumdar-Shaw</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1,000,000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Carica Investments</w:t>
            </w:r>
            <w:r>
              <w:rPr>
                <w:rFonts w:ascii="Times New Roman" w:cs="Times New Roman" w:eastAsia="Times New Roman" w:hAnsi="Times New Roman"/>
                <w:sz w:val="26"/>
                <w:szCs w:val="26"/>
                <w:color w:val="auto"/>
                <w:vertAlign w:val="superscript"/>
              </w:rPr>
              <w:t>(2)</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Kiran Mazumdar-Shaw</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 private company limited by shares of which Ms. Mazumdar-Shaw, a member of our board of directors, is the managing member.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 partnership firm of which Ms. Mazumdar-Shaw, a member of our board of directors, is the managing partner.</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Third Closing and Fourth Closings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2022, in connection with the third and fourth closings of our Series Seed Extension preferred stock financing, we sold an aggregate of 10,250,000 shares of our Series Seed preferred stock at a purchase price of $1.00 per share for an aggregate purchase price of $10.2 million. Each share of our Series Seed preferred stock will automatically convert into approximately 0.1082 shares of our common stock immediately prior to the completion of this offering. The following table summarizes purchases of our Series Seed preferred stock by related persons: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Series Seed</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660" w:type="dxa"/>
            <w:vAlign w:val="bottom"/>
            <w:vMerge w:val="restart"/>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16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Red Tree Venture Fund, L.P.</w:t>
            </w:r>
            <w:r>
              <w:rPr>
                <w:rFonts w:ascii="Times New Roman" w:cs="Times New Roman" w:eastAsia="Times New Roman" w:hAnsi="Times New Roman"/>
                <w:sz w:val="23"/>
                <w:szCs w:val="23"/>
                <w:color w:val="auto"/>
                <w:vertAlign w:val="superscript"/>
              </w:rPr>
              <w:t>(1)</w:t>
            </w: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Heath Lukatch, PhD</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7,500,000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Invus Public Equities, L.P.</w:t>
            </w:r>
            <w:r>
              <w:rPr>
                <w:rFonts w:ascii="Times New Roman" w:cs="Times New Roman" w:eastAsia="Times New Roman" w:hAnsi="Times New Roman"/>
                <w:sz w:val="26"/>
                <w:szCs w:val="26"/>
                <w:color w:val="auto"/>
                <w:vertAlign w:val="superscript"/>
              </w:rPr>
              <w:t>(2)</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20" w:hanging="424"/>
        <w:spacing w:after="0" w:line="261"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Red Tree, which holds five percent or more of our capital stock. Dr. Lukatch is a partner at Red Tree and a member of our board of directors.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Closing and Additional Closing</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March 2023, in connection with the initial and additional closings of our Series B preferred stock financing, we sold an aggregate of 37,073,162 shares of our Series B preferred stock at a purchase price of $1.025 per share for an aggregate purchase price of approximately $38.0 million. Each share of our Series B preferred stock will automatically convert into approximately 0.1082 shares of our common stock immediately prior to the completion of this offering. The following table summarizes purchases of our Series B preferred stock by related persons: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1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560" w:type="dxa"/>
            <w:vAlign w:val="bottom"/>
            <w:vMerge w:val="restart"/>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1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2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16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RA Capital Healthcare Fund, L.P.</w:t>
            </w:r>
            <w:r>
              <w:rPr>
                <w:rFonts w:ascii="Times New Roman" w:cs="Times New Roman" w:eastAsia="Times New Roman" w:hAnsi="Times New Roman"/>
                <w:sz w:val="23"/>
                <w:szCs w:val="23"/>
                <w:color w:val="auto"/>
                <w:vertAlign w:val="superscript"/>
              </w:rPr>
              <w:t>(1)</w:t>
            </w: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Jake Simson, Ph.D.</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6,463,442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6,625,028.05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Nexus Fund III, L.P.</w:t>
            </w:r>
            <w:r>
              <w:rPr>
                <w:rFonts w:ascii="Times New Roman" w:cs="Times New Roman" w:eastAsia="Times New Roman" w:hAnsi="Times New Roman"/>
                <w:sz w:val="25"/>
                <w:szCs w:val="25"/>
                <w:color w:val="auto"/>
                <w:vertAlign w:val="superscript"/>
              </w:rPr>
              <w:t>(1)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Jake Simson, Ph.D.</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4,308,961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4,416,685.03</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Tree Venture Fund, L.P.</w:t>
            </w:r>
            <w:r>
              <w:rPr>
                <w:rFonts w:ascii="Times New Roman" w:cs="Times New Roman" w:eastAsia="Times New Roman" w:hAnsi="Times New Roman"/>
                <w:sz w:val="25"/>
                <w:szCs w:val="25"/>
                <w:color w:val="auto"/>
                <w:vertAlign w:val="superscript"/>
              </w:rPr>
              <w:t>(2)</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Heath Lukatch, Ph.D.</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5,994,183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6,144,037.58</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Omega Fund VII, L.P.</w:t>
            </w:r>
            <w:r>
              <w:rPr>
                <w:rFonts w:ascii="Times New Roman" w:cs="Times New Roman" w:eastAsia="Times New Roman" w:hAnsi="Times New Roman"/>
                <w:sz w:val="25"/>
                <w:szCs w:val="25"/>
                <w:color w:val="auto"/>
                <w:vertAlign w:val="superscript"/>
              </w:rPr>
              <w:t>(3)</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4,795,347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4,915,230.68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5"/>
                <w:szCs w:val="25"/>
                <w:color w:val="auto"/>
                <w:vertAlign w:val="superscript"/>
              </w:rPr>
              <w:t>(4)</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2,740,198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2,808,702.95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RA Capital Management, L.P., or collectively with its affiliates RA Capital, which holds five percent or more of our capital stock. Dr. Simson is a partner at RA Capital and a member of our board of directors.</w:t>
      </w:r>
    </w:p>
    <w:p>
      <w:pPr>
        <w:ind w:left="540" w:right="20" w:hanging="424"/>
        <w:spacing w:after="0" w:line="250"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Red Tree Venture Fund, L.P., or Red Tree, which holds five percent or more of our capital stock. Dr. Lukatch is the managing partner at Red Tree and a member of our board of directors.</w:t>
      </w: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Milestone Tranche 1 Closing</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milestone tranche 1 closing of our Series B preferred stock financing, we sold an aggregate of 39,024,386 shares of our Series B preferred stock at a purchase price of $1.025 per share for an aggregate purchase price of approximately $40.0 million. Each share of our Series B preferred stock will automatically convert into approximately 0.1082 shares of our common stock immediately prior to the completion of this offering. The following table summarizes purchases of our Series B preferred stock by related persons: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1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560" w:type="dxa"/>
            <w:vAlign w:val="bottom"/>
            <w:vMerge w:val="restart"/>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1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2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16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RA Capital Healthcare Fund, L.P.</w:t>
            </w:r>
            <w:r>
              <w:rPr>
                <w:rFonts w:ascii="Times New Roman" w:cs="Times New Roman" w:eastAsia="Times New Roman" w:hAnsi="Times New Roman"/>
                <w:sz w:val="23"/>
                <w:szCs w:val="23"/>
                <w:color w:val="auto"/>
                <w:vertAlign w:val="superscript"/>
              </w:rPr>
              <w:t>(1)</w:t>
            </w: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Jake Simson, Ph.D.</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6,803,624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6,973,714.60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Nexus Fund III, L.P.</w:t>
            </w:r>
            <w:r>
              <w:rPr>
                <w:rFonts w:ascii="Times New Roman" w:cs="Times New Roman" w:eastAsia="Times New Roman" w:hAnsi="Times New Roman"/>
                <w:sz w:val="25"/>
                <w:szCs w:val="25"/>
                <w:color w:val="auto"/>
                <w:vertAlign w:val="superscript"/>
              </w:rPr>
              <w:t>(1)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Jake Simson, Ph.D.</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4,535,749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4,649,142.73</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Tree Venture Fund, L.P.</w:t>
            </w:r>
            <w:r>
              <w:rPr>
                <w:rFonts w:ascii="Times New Roman" w:cs="Times New Roman" w:eastAsia="Times New Roman" w:hAnsi="Times New Roman"/>
                <w:sz w:val="25"/>
                <w:szCs w:val="25"/>
                <w:color w:val="auto"/>
                <w:vertAlign w:val="superscript"/>
              </w:rPr>
              <w:t>(2)</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Heath Lukatch, Ph.D.</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6,309,667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6,467,408.68</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Omega Fund VII, L.P.</w:t>
            </w:r>
            <w:r>
              <w:rPr>
                <w:rFonts w:ascii="Times New Roman" w:cs="Times New Roman" w:eastAsia="Times New Roman" w:hAnsi="Times New Roman"/>
                <w:sz w:val="25"/>
                <w:szCs w:val="25"/>
                <w:color w:val="auto"/>
                <w:vertAlign w:val="superscript"/>
              </w:rPr>
              <w:t>(3)</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5,047,733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5,173,926.33</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5"/>
                <w:szCs w:val="25"/>
                <w:color w:val="auto"/>
                <w:vertAlign w:val="superscript"/>
              </w:rPr>
              <w:t>(4)</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2,884,419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2,956,529.48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RA Capital, which holds five percent or more of our capital stock. Dr. Simson is a partner at RA Capital and a member of our board of directors.</w:t>
      </w:r>
    </w:p>
    <w:p>
      <w:pPr>
        <w:ind w:left="540" w:right="20" w:hanging="424"/>
        <w:spacing w:after="0" w:line="250"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Red Tree, which holds five percent or more of our capital stock. Dr. Lukatch is the managing partner at Red Tree and a member of our board of directors.</w:t>
      </w: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Milestone Tranche 2 Closing</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November 2023, in connection with the milestone tranche 2 closing of our Series B preferred stock financing, we sold an aggregate of 29,497,553 shares of our Series B preferred stock at a purchase price of $1.025 per share for an aggregate purchase price of approximately $30.2 million. Each share of our Series B preferred stock will automatically convert into approximately 0.1082 shares of our common stock immediately prior to the completion of this offering. The following table summarizes purchases of our Series B preferred stock by related persons: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1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560" w:type="dxa"/>
            <w:vAlign w:val="bottom"/>
            <w:vMerge w:val="restart"/>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1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2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16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RA Capital Healthcare Fund, L.P.</w:t>
            </w:r>
            <w:r>
              <w:rPr>
                <w:rFonts w:ascii="Times New Roman" w:cs="Times New Roman" w:eastAsia="Times New Roman" w:hAnsi="Times New Roman"/>
                <w:sz w:val="23"/>
                <w:szCs w:val="23"/>
                <w:color w:val="auto"/>
                <w:vertAlign w:val="superscript"/>
              </w:rPr>
              <w:t>(1)</w:t>
            </w: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Jake Simson, Ph.D.</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5,142,689</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5,271,256.23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Nexus Fund III, L.P.</w:t>
            </w:r>
            <w:r>
              <w:rPr>
                <w:rFonts w:ascii="Times New Roman" w:cs="Times New Roman" w:eastAsia="Times New Roman" w:hAnsi="Times New Roman"/>
                <w:sz w:val="25"/>
                <w:szCs w:val="25"/>
                <w:color w:val="auto"/>
                <w:vertAlign w:val="superscript"/>
              </w:rPr>
              <w:t>(1)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Jake Simson, Ph.D.</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3,428,459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3,514,170.48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Tree Venture Fund, L.P.</w:t>
            </w:r>
            <w:r>
              <w:rPr>
                <w:rFonts w:ascii="Times New Roman" w:cs="Times New Roman" w:eastAsia="Times New Roman" w:hAnsi="Times New Roman"/>
                <w:sz w:val="25"/>
                <w:szCs w:val="25"/>
                <w:color w:val="auto"/>
                <w:vertAlign w:val="superscript"/>
              </w:rPr>
              <w:t>(2)</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Heath Lukatch, Ph.D.</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4,769,319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4,888,551.98</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Omega Fund VII, L.P.</w:t>
            </w:r>
            <w:r>
              <w:rPr>
                <w:rFonts w:ascii="Times New Roman" w:cs="Times New Roman" w:eastAsia="Times New Roman" w:hAnsi="Times New Roman"/>
                <w:sz w:val="25"/>
                <w:szCs w:val="25"/>
                <w:color w:val="auto"/>
                <w:vertAlign w:val="superscript"/>
              </w:rPr>
              <w:t>(3)</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3,815,455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3,910,841.38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5"/>
                <w:szCs w:val="25"/>
                <w:color w:val="auto"/>
                <w:vertAlign w:val="superscript"/>
              </w:rPr>
              <w:t>(4)</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2,180,260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2,234,766.50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RA Capital, which holds five percent or more of our capital stock. Dr. Simson is a partner at RA Capital and a member of our board of directors.</w:t>
      </w:r>
    </w:p>
    <w:p>
      <w:pPr>
        <w:ind w:left="540" w:right="2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Red Tree, which holds five percent or more of our capital stock. Dr. Lukatch is the managing partner at Red Tree and a member of our board of directors.</w:t>
      </w: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which holds five percent or more of our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December 2023, we sold an aggregate of 119,599,872 shares of our Series C preferred stock at a purchase price of $1.3796 per share for an aggregate purchase price of approximately $165.0 million. Each share of our Series C preferred stock will automatically convert into approximately 0.1082 of our common stock immediately prior to the completion of this offering. The following table summarizes purchases of our Series C preferred stock by related persons: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240" w:type="dxa"/>
            <w:vAlign w:val="bottom"/>
            <w:vMerge w:val="restart"/>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1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2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3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TPG LSI Rise Butterfly, LP</w:t>
            </w:r>
            <w:r>
              <w:rPr>
                <w:rFonts w:ascii="Times New Roman" w:cs="Times New Roman" w:eastAsia="Times New Roman" w:hAnsi="Times New Roman"/>
                <w:sz w:val="23"/>
                <w:szCs w:val="23"/>
                <w:color w:val="auto"/>
                <w:vertAlign w:val="superscript"/>
              </w:rPr>
              <w:t>(1)</w:t>
            </w:r>
          </w:p>
        </w:tc>
        <w:tc>
          <w:tcPr>
            <w:tcW w:w="1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Carolyn Ng, Ph.D.</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18,121,194</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24,999,999.25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Healthcare Fund, L.P.</w:t>
            </w:r>
            <w:r>
              <w:rPr>
                <w:rFonts w:ascii="Times New Roman" w:cs="Times New Roman" w:eastAsia="Times New Roman" w:hAnsi="Times New Roman"/>
                <w:sz w:val="25"/>
                <w:szCs w:val="25"/>
                <w:color w:val="auto"/>
                <w:vertAlign w:val="superscript"/>
              </w:rPr>
              <w:t>(2)</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Jake Simson, Ph.D.</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5,835,024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8,049,999.12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RA Capital Nexus Fund III, L.P.</w:t>
            </w:r>
            <w:r>
              <w:rPr>
                <w:rFonts w:ascii="Times New Roman" w:cs="Times New Roman" w:eastAsia="Times New Roman" w:hAnsi="Times New Roman"/>
                <w:sz w:val="25"/>
                <w:szCs w:val="25"/>
                <w:color w:val="auto"/>
                <w:vertAlign w:val="superscript"/>
              </w:rPr>
              <w:t>(2)</w:t>
            </w:r>
          </w:p>
        </w:tc>
        <w:tc>
          <w:tcPr>
            <w:tcW w:w="2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Jake Simson, Ph.D.</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10,836,474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14,949,999.54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Omega Fund VII, L.P.</w:t>
            </w:r>
            <w:r>
              <w:rPr>
                <w:rFonts w:ascii="Times New Roman" w:cs="Times New Roman" w:eastAsia="Times New Roman" w:hAnsi="Times New Roman"/>
                <w:sz w:val="25"/>
                <w:szCs w:val="25"/>
                <w:color w:val="auto"/>
                <w:vertAlign w:val="superscript"/>
              </w:rPr>
              <w:t>(3)</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5,436,358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7,499,999.50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Tree Venture Fund, L.P.</w:t>
            </w:r>
            <w:r>
              <w:rPr>
                <w:rFonts w:ascii="Times New Roman" w:cs="Times New Roman" w:eastAsia="Times New Roman" w:hAnsi="Times New Roman"/>
                <w:sz w:val="25"/>
                <w:szCs w:val="25"/>
                <w:color w:val="auto"/>
                <w:vertAlign w:val="superscript"/>
              </w:rPr>
              <w:t>(4)</w:t>
            </w:r>
          </w:p>
        </w:tc>
        <w:tc>
          <w:tcPr>
            <w:tcW w:w="21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Heath Lukatch, Ph.D.</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3,624,238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4,999,998.75</w:t>
            </w:r>
          </w:p>
        </w:tc>
        <w:tc>
          <w:tcPr>
            <w:tcW w:w="0" w:type="dxa"/>
            <w:vAlign w:val="bottom"/>
          </w:tcPr>
          <w:p>
            <w:pPr>
              <w:spacing w:after="0"/>
              <w:rPr>
                <w:sz w:val="1"/>
                <w:szCs w:val="1"/>
                <w:color w:val="auto"/>
              </w:rPr>
            </w:pPr>
          </w:p>
        </w:tc>
      </w:tr>
      <w:tr>
        <w:trPr>
          <w:trHeight w:val="35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Invus Public Equities, L.P.</w:t>
            </w:r>
            <w:r>
              <w:rPr>
                <w:rFonts w:ascii="Times New Roman" w:cs="Times New Roman" w:eastAsia="Times New Roman" w:hAnsi="Times New Roman"/>
                <w:sz w:val="26"/>
                <w:szCs w:val="26"/>
                <w:color w:val="auto"/>
                <w:vertAlign w:val="superscript"/>
              </w:rPr>
              <w:t>(5)</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3,624,238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4,999,998.75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20" w:hanging="424"/>
        <w:spacing w:after="0" w:line="261"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TPG, which holds five percent or more of our capital stock. Dr. Ng is a partner and managing director at TPG and a member of our board of directors.</w:t>
      </w:r>
    </w:p>
    <w:p>
      <w:pPr>
        <w:ind w:left="540" w:right="2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RA Capital, which holds five percent or more of our capital stock. Dr. Simson is a partner at RA Capital and a member of our board of directors.</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is affiliated with Red Tree, which holds five percent or more of our capital stock. Dr. Lukatch is the managing partner at Red Tree and a member of our board of directors.</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our capital stock.</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Ivan Hyep Promissory Note</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September 2021, we entered into a full recourse promissory note, or the Hyep Promissory Note, with Ivan Hyep, our Chief Financial Officer, pursuant to which we loaned to Mr. Hyep $273,600, plus interest accruing at rate of 0.86% per annum (or if higher, the applicable federal rate as of the date of the Hyep Promissory Note), due by the earliest to occur of (i) December 31, 2025, (ii) the date of certain transfers by Mr. Hyep of the collateral pledged under the Hyep Promissory Note, (iii) upon the day prior to the date a change in the Company’s or Mr. Hyep’s status would cause the loan to be deemed prohibited under applicable law, (iv) upon the date prior to the Company’s filing of a registration statement for an initial public offering or a change of control, (v) upon acceleration of the Hyep Promissory Note in accordance with its terms or (vi) the date three months following Mr. Hyep’s termination of employment with the Company. As part of the Hyep Promissory Note, Mr. Hyep pledged 66,676 shares of restricted Common Stock as collateral under the terms of a security agreement. Mr. Hyep has repaid principal and interest in the following amounts on the following dates: $70,758 in September 2022 and $69,282 in July 2023. The Hyep Promissory Note was repaid in full in June 2024 with a final payment of $137,832.</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Stockholders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Entities affiliated with Biocon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Entities affiliated with Biocon Limited, or collectively Biocon, is a holder of greater than 5% of our securities and Ms. Mazumdar-Shaw is the Executive Chairperson of Biocon and a member of our board of directors. Below is a summary of the transactions between Biocon and us since January 1, 2021.</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Syngene Master Manufacturing Services Agreement and Syngene Master Contract Services Agreement</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 April 2020, we entered into an amended and restated master manufacturing services agreement, and as amended in May 2022, August 2022 and July 2023, or the Syngene Manufacturing Services Agreement, with Syngene International Limited, or Syngene, an affiliate of Biocon. Under the Syngene Manufacturing Services Agreement, Syngene provides contract development and manufacturing for drug products pursuant to statements of work. In July 2020, we entered into a master contract services agreement, or the Syngene Contract Services Agreement, with Syngene. Under the Syngene Contract Services Agreement, Syngene provides contract research and project managements services for drug products pursuant to statements of work. We have made payments to Syngene under the Syngene Manufacturing Services Agreement and Syngene Contract Services Agreement together totaling $429,437 in 2021, $6,205,432 in 2022 and $7,738,383 in 2023.</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Biocon Loan Agreement</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August 2021, we entered into a Loan Agreement, with Biocon Pharma Inc., or Biocon Pharma, an affiliate of Biocon, pursuant to which we borrowed $4.5 million, with an interest rate of 4.0% per annum. In October 2021, we amended such Loan Agreement (as amended, the Biocon Loan) pursuant to which we borrowed an additional $4.5 million, for an aggregate amount of $9.0 million. In April 2022, we entered into a Letter of Intent with Biocon Pharma to convert the outstanding principal and accrued interest into shares of preferred stock upon the occurrence of the subsequent Series Seed Extension preferred stock financing at a price of $1.00 per share.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Biofusion Therapeutics Limited Services Agreement</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July 2021, the Company entered into a master services agreement with Biofusion Therapeutics Limited, or Biofusion, a wholly owned subsidiary of Biocon, or the Biofusion Services Agreement, pursuant to which Biofusion provided certain research and development services to the Company. Biofusion was acquired by Syngene on August 2, 2022, and, in connection with such acquisition, the Biofusion Services Agreement was terminated in August 2022. Upon the termination of the Biofusion Services Agreement, the Company, Biocon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and Syngene determined the Company incurred $4.1 million for the fiscal year ended December 31, 2022 and $3.6 million for the fiscal year ended December 31, 2021 in connection with services provided under the Biofusion Services Agreement. All of such amounts were classified as accrued expenses of the Company and repaid in full in March 2023</w:t>
      </w:r>
      <w:r>
        <w:rPr>
          <w:rFonts w:ascii="Times New Roman" w:cs="Times New Roman" w:eastAsia="Times New Roman" w:hAnsi="Times New Roman"/>
          <w:sz w:val="18"/>
          <w:szCs w:val="18"/>
          <w:i w:val="1"/>
          <w:iCs w:val="1"/>
          <w:color w:val="auto"/>
        </w:rPr>
        <w:t>.</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Biocon Biologics Limited Agreements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July 2019, the Company entered into a manufacturing agreement, or the BBL manufacturing agreement, with a wholly-owned subsidiary of Biocon, Biocon Biologics Limited, or BBL, formerly Biocon Biologics India Limited, an affiliate of one of our greater than 5% stockholders. The BBL manufacturing agreement is valid for five years unless earlier terminated by one of the parties. Additionally, the Company entered into a material transfer agreement in August 2023, a quality agreement and a service agreement in October 2023 and a manufacturing agreement in December 2023, or, together with the BBL manufacturing agreement, the BBL Agreements, with BBL. Pursuant to the terms of the BBL Agreements, BBL manufactures and supplies specified quantities of products to the Company to be utilized in research and development and manufacturing pursuant to purchase orders executed from time to time between the parties. For the years ended December 31, 2023 and 2022, the Company incurred $1.2 million and $0 in research and development expenses, respectively, under the BBL Agreements. As of December 31, 2023 and 2022, the Company owed $0 and $0.2 million, respectively, which were classified in accounts payable-related party. The Company believes that all transactions with BBL have been entered into in the ordinary course of business.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other stockholders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our preferred stock financings, we entered into an investors’ rights agreement, voting agreement and right of first refusal agreement, in each case, with the purchasers of our preferred stock and certain holders of our common stock.</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second amended and restated investors’ rights agreement, or the Investors’ Rights Agreement, provides certain holders of our preferred stock with a participation right to purchase their pro rata share of new securities that we may propose to sell and issue, subject to certain exceptions, including shares sold in this offering. Such participation right will terminate upon the closing of this offering. The Investors’ Rights Agreement further provides certain holders of our capital stock with the right to demand that we file a registration statement, subject to certain limitations, and to request that their shares be covered by a registration statement that we are otherwise filing. See the section titled “</w:t>
      </w:r>
      <w:r>
        <w:rPr>
          <w:rFonts w:ascii="Times New Roman" w:cs="Times New Roman" w:eastAsia="Times New Roman" w:hAnsi="Times New Roman"/>
          <w:sz w:val="18"/>
          <w:szCs w:val="18"/>
          <w:i w:val="1"/>
          <w:iCs w:val="1"/>
          <w:color w:val="auto"/>
        </w:rPr>
        <w:t>Description of Capital Stock—Registration Rights</w:t>
      </w:r>
      <w:r>
        <w:rPr>
          <w:rFonts w:ascii="Times New Roman" w:cs="Times New Roman" w:eastAsia="Times New Roman" w:hAnsi="Times New Roman"/>
          <w:sz w:val="18"/>
          <w:szCs w:val="18"/>
          <w:color w:val="auto"/>
        </w:rPr>
        <w:t>” appearing elsewhere in this prospectus, for additional information regarding such registration rights.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second amended and restated voting agreement, or the Voting Agreement, provides drag-along rights in respect of sales by certain holders of our capital stock. The Voting Agreement also contains provisions with respect to the elections of our board of directors and its composition. The rights under the Voting Agreement will terminate upon the closing of this offering.</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second amended and restated right of first refusal and co-sale agreement, or the Right of First Refusal and Co-Sale Agreement, provides for rights of first refusal and co-sale rights in respect of sales by certain holders of our capital stock. The rights under the Right of First Refusal and Co-Sale Agreement will terminate upon the closing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intend to enter into new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undertaken by such person on behalf of our company or that person’s status as a member of our board of directors to the maximum extent allowed under Delaware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Directed Share Program</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per share up to 5% of the shares of common stock offered by this prospectus to certain individuals through a directed share program, including certain of our directors, officers, employees and persons having business relationships with us. See “</w:t>
      </w:r>
      <w:r>
        <w:rPr>
          <w:rFonts w:ascii="Times New Roman" w:cs="Times New Roman" w:eastAsia="Times New Roman" w:hAnsi="Times New Roman"/>
          <w:sz w:val="18"/>
          <w:szCs w:val="18"/>
          <w:i w:val="1"/>
          <w:iCs w:val="1"/>
          <w:color w:val="auto"/>
        </w:rPr>
        <w:t>Underwriting - Directed Share Program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for approval of related party transactions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5% or more of our voting securities and their affiliates, each a related party. Prior to this offering, the material facts as to the related party’s relationship or interest in the transaction were disclosed to our board of directors prior to their consideration of such transaction. A majority of the directors who are not interested in the transaction must approve the transaction in order for the transaction to be approved by our board of directors.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have adopted a written related party transactions policy that such transactions must be approved by our audit committee. In reviewing any related party transactions, our audit committee will take into account, among other factors that it deems appropriate, whether the related party transaction is on terms no less favorable to us than terms generally available in a transaction with an unaffiliated third-party under the same or similar circumstances, whether the related party transaction is otherwise consistent with our interests and those of our stockholders, and the extent of the related party’s interest in the related party transaction. This policy will become effective on the date on which the registration statement of which this prospectus is part is declared effective by the SEC.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capital stock as of August 1, 2024, as adjusted to reflect the sale of common stock offered by us in this offering, for:</w:t>
      </w:r>
    </w:p>
    <w:p>
      <w:pPr>
        <w:spacing w:after="0" w:line="67" w:lineRule="exact"/>
        <w:rPr>
          <w:sz w:val="20"/>
          <w:szCs w:val="20"/>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capital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percentage of beneficial ownership prior to this offering in the table below is based on 34,261,094 shares of common stock deemed to be outstanding as of August 1, 2024, assuming the conversion of all outstanding shares of our redeemable convertible preferred stock immediately prior to the closing of this offering, and assuming an initial public offering price or $17.00 per share, which is the midpoint of the offering range set forth on the cover page of this prospectus, and the percentage of beneficial ownership after this offering in the table below is based on 48,966,976 shares of common stock assumed to be outstanding after the closing of the offering. The information in the table below assumes no exercise of the underwriters’ option to purchase additional shares. The following table also does not include any shares of common stock that directors and executive officers may purchase in this offering through the directed share program described under “</w:t>
      </w:r>
      <w:r>
        <w:rPr>
          <w:rFonts w:ascii="Times New Roman" w:cs="Times New Roman" w:eastAsia="Times New Roman" w:hAnsi="Times New Roman"/>
          <w:sz w:val="18"/>
          <w:szCs w:val="18"/>
          <w:i w:val="1"/>
          <w:iCs w:val="1"/>
          <w:color w:val="auto"/>
        </w:rPr>
        <w:t>Underwriting-Directed Share Program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beneficial owner listed in the table below is c/o Bicara Therapeutics Inc., 116 Huntington Avenue, Suite 703, Boston, MA 02116.</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1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Owned Prior to Offering</w:t>
            </w:r>
          </w:p>
        </w:tc>
        <w:tc>
          <w:tcPr>
            <w:tcW w:w="21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Owned After Offering</w:t>
            </w: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top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500" w:type="dxa"/>
            <w:vAlign w:val="bottom"/>
          </w:tcPr>
          <w:p>
            <w:pPr>
              <w:spacing w:after="0"/>
              <w:rPr>
                <w:sz w:val="12"/>
                <w:szCs w:val="12"/>
                <w:color w:val="auto"/>
              </w:rPr>
            </w:pPr>
          </w:p>
        </w:tc>
        <w:tc>
          <w:tcPr>
            <w:tcW w:w="8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Greater-than-5% holders: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Biocon</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5,523,897</w:t>
            </w:r>
          </w:p>
        </w:tc>
        <w:tc>
          <w:tcPr>
            <w:tcW w:w="16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5,523,897</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20" w:type="dxa"/>
            <w:vAlign w:val="bottom"/>
          </w:tcPr>
          <w:p>
            <w:pPr>
              <w:spacing w:after="0"/>
              <w:rPr>
                <w:sz w:val="18"/>
                <w:szCs w:val="18"/>
                <w:color w:val="auto"/>
              </w:rPr>
            </w:pPr>
          </w:p>
        </w:tc>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RA Capital Management, L.P.</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5,122,993</w:t>
            </w:r>
          </w:p>
        </w:tc>
        <w:tc>
          <w:tcPr>
            <w:tcW w:w="16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5,122,993</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Tree Venture Fund, L.P.</w:t>
            </w:r>
            <w:r>
              <w:rPr>
                <w:rFonts w:ascii="Times New Roman" w:cs="Times New Roman" w:eastAsia="Times New Roman" w:hAnsi="Times New Roman"/>
                <w:sz w:val="25"/>
                <w:szCs w:val="25"/>
                <w:color w:val="auto"/>
                <w:vertAlign w:val="superscript"/>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3,050,509</w:t>
            </w:r>
          </w:p>
        </w:tc>
        <w:tc>
          <w:tcPr>
            <w:tcW w:w="16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3,050,509</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 w:type="dxa"/>
            <w:vAlign w:val="bottom"/>
          </w:tcPr>
          <w:p>
            <w:pPr>
              <w:spacing w:after="0"/>
              <w:rPr>
                <w:sz w:val="18"/>
                <w:szCs w:val="18"/>
                <w:color w:val="auto"/>
              </w:rPr>
            </w:pPr>
          </w:p>
        </w:tc>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Omega Fund VII, L.P.</w:t>
            </w:r>
            <w:r>
              <w:rPr>
                <w:rFonts w:ascii="Times New Roman" w:cs="Times New Roman" w:eastAsia="Times New Roman" w:hAnsi="Times New Roman"/>
                <w:sz w:val="25"/>
                <w:szCs w:val="25"/>
                <w:color w:val="auto"/>
                <w:vertAlign w:val="superscript"/>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2,065,762</w:t>
            </w:r>
          </w:p>
        </w:tc>
        <w:tc>
          <w:tcPr>
            <w:tcW w:w="16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2,065,762</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2,047,827</w:t>
            </w:r>
          </w:p>
        </w:tc>
        <w:tc>
          <w:tcPr>
            <w:tcW w:w="16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2,047,827</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TPG LSI Rise Butterfly, LP</w:t>
            </w:r>
            <w:r>
              <w:rPr>
                <w:rFonts w:ascii="Times New Roman" w:cs="Times New Roman" w:eastAsia="Times New Roman" w:hAnsi="Times New Roman"/>
                <w:sz w:val="25"/>
                <w:szCs w:val="25"/>
                <w:color w:val="auto"/>
                <w:vertAlign w:val="superscript"/>
              </w:rPr>
              <w:t>(6)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1,960,425</w:t>
            </w:r>
          </w:p>
        </w:tc>
        <w:tc>
          <w:tcPr>
            <w:tcW w:w="16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1,960,425</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Claire Mazumdar, Ph.D., M.B.A</w:t>
            </w:r>
            <w:r>
              <w:rPr>
                <w:rFonts w:ascii="Times New Roman" w:cs="Times New Roman" w:eastAsia="Times New Roman" w:hAnsi="Times New Roman"/>
                <w:sz w:val="26"/>
                <w:szCs w:val="26"/>
                <w:color w:val="auto"/>
                <w:vertAlign w:val="superscript"/>
              </w:rPr>
              <w:t>(7)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574,323</w:t>
            </w:r>
          </w:p>
        </w:tc>
        <w:tc>
          <w:tcPr>
            <w:tcW w:w="16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574,323</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Cohlhepp, Pharm.D.</w:t>
            </w:r>
            <w:r>
              <w:rPr>
                <w:rFonts w:ascii="Times New Roman" w:cs="Times New Roman" w:eastAsia="Times New Roman" w:hAnsi="Times New Roman"/>
                <w:sz w:val="25"/>
                <w:szCs w:val="25"/>
                <w:color w:val="auto"/>
                <w:vertAlign w:val="superscript"/>
              </w:rPr>
              <w:t>(8)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346,622</w:t>
            </w:r>
          </w:p>
        </w:tc>
        <w:tc>
          <w:tcPr>
            <w:tcW w:w="16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Ivan Hyep, M.B.A.</w:t>
            </w:r>
            <w:r>
              <w:rPr>
                <w:rFonts w:ascii="Times New Roman" w:cs="Times New Roman" w:eastAsia="Times New Roman" w:hAnsi="Times New Roman"/>
                <w:sz w:val="25"/>
                <w:szCs w:val="25"/>
                <w:color w:val="auto"/>
                <w:vertAlign w:val="superscript"/>
              </w:rPr>
              <w:t>(9)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245,986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Nils Lonberg, Ph.D.</w:t>
            </w:r>
            <w:r>
              <w:rPr>
                <w:rFonts w:ascii="Times New Roman" w:cs="Times New Roman" w:eastAsia="Times New Roman" w:hAnsi="Times New Roman"/>
                <w:sz w:val="25"/>
                <w:szCs w:val="25"/>
                <w:color w:val="auto"/>
                <w:vertAlign w:val="superscript"/>
              </w:rPr>
              <w:t>(10)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Carolyn Ng, Ph.D.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40" w:type="dxa"/>
            <w:vAlign w:val="bottom"/>
            <w:gridSpan w:val="2"/>
          </w:tcPr>
          <w:p>
            <w:pPr>
              <w:jc w:val="right"/>
              <w:ind w:right="704"/>
              <w:spacing w:after="0"/>
              <w:rPr>
                <w:sz w:val="20"/>
                <w:szCs w:val="20"/>
                <w:color w:val="auto"/>
              </w:rPr>
            </w:pPr>
            <w:r>
              <w:rPr>
                <w:rFonts w:ascii="Times New Roman" w:cs="Times New Roman" w:eastAsia="Times New Roman" w:hAnsi="Times New Roman"/>
                <w:sz w:val="18"/>
                <w:szCs w:val="18"/>
                <w:color w:val="auto"/>
              </w:rPr>
              <w:t>188</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54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2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Owned Prior to Offering</w:t>
            </w:r>
          </w:p>
        </w:tc>
        <w:tc>
          <w:tcPr>
            <w:tcW w:w="22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Owned After Offering</w:t>
            </w: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8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520" w:type="dxa"/>
            <w:vAlign w:val="bottom"/>
          </w:tcPr>
          <w:p>
            <w:pPr>
              <w:spacing w:after="0"/>
              <w:rPr>
                <w:sz w:val="12"/>
                <w:szCs w:val="12"/>
                <w:color w:val="auto"/>
              </w:rPr>
            </w:pPr>
          </w:p>
        </w:tc>
        <w:tc>
          <w:tcPr>
            <w:tcW w:w="8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Vijay Kuchroo, D.V.M., Ph.D.</w:t>
            </w:r>
            <w:r>
              <w:rPr>
                <w:rFonts w:ascii="Times New Roman" w:cs="Times New Roman" w:eastAsia="Times New Roman" w:hAnsi="Times New Roman"/>
                <w:sz w:val="24"/>
                <w:szCs w:val="24"/>
                <w:color w:val="auto"/>
                <w:vertAlign w:val="superscript"/>
              </w:rPr>
              <w:t>(11)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48,148</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48,148</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Kiran Mazumdar-Shaw</w:t>
            </w:r>
            <w:r>
              <w:rPr>
                <w:rFonts w:ascii="Times New Roman" w:cs="Times New Roman" w:eastAsia="Times New Roman" w:hAnsi="Times New Roman"/>
                <w:sz w:val="25"/>
                <w:szCs w:val="25"/>
                <w:color w:val="auto"/>
                <w:vertAlign w:val="superscript"/>
              </w:rPr>
              <w:t>(12)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6,303,583</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18.4%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6,303,583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Heath Lukatch, Ph.D.</w:t>
            </w:r>
            <w:r>
              <w:rPr>
                <w:rFonts w:ascii="Times New Roman" w:cs="Times New Roman" w:eastAsia="Times New Roman" w:hAnsi="Times New Roman"/>
                <w:sz w:val="25"/>
                <w:szCs w:val="25"/>
                <w:color w:val="auto"/>
                <w:vertAlign w:val="superscript"/>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3,050,509</w:t>
            </w:r>
          </w:p>
        </w:tc>
        <w:tc>
          <w:tcPr>
            <w:tcW w:w="16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3,050,509</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Jake Simson, Ph.D.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Ketan Patel, M.D., M.B.A.</w:t>
            </w:r>
            <w:r>
              <w:rPr>
                <w:rFonts w:ascii="Times New Roman" w:cs="Times New Roman" w:eastAsia="Times New Roman" w:hAnsi="Times New Roman"/>
                <w:sz w:val="25"/>
                <w:szCs w:val="25"/>
                <w:color w:val="auto"/>
                <w:vertAlign w:val="superscript"/>
              </w:rPr>
              <w:t>(16)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Kate Haviland, M.B.A.</w:t>
            </w:r>
            <w:r>
              <w:rPr>
                <w:rFonts w:ascii="Times New Roman" w:cs="Times New Roman" w:eastAsia="Times New Roman" w:hAnsi="Times New Roman"/>
                <w:sz w:val="25"/>
                <w:szCs w:val="25"/>
                <w:color w:val="auto"/>
                <w:vertAlign w:val="superscript"/>
              </w:rPr>
              <w:t>(13)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Robertson, M.B.A.</w:t>
            </w:r>
            <w:r>
              <w:rPr>
                <w:rFonts w:ascii="Times New Roman" w:cs="Times New Roman" w:eastAsia="Times New Roman" w:hAnsi="Times New Roman"/>
                <w:sz w:val="25"/>
                <w:szCs w:val="25"/>
                <w:color w:val="auto"/>
                <w:vertAlign w:val="superscript"/>
              </w:rPr>
              <w:t>(14)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Michael Powell</w:t>
            </w:r>
            <w:r>
              <w:rPr>
                <w:rFonts w:ascii="Times New Roman" w:cs="Times New Roman" w:eastAsia="Times New Roman" w:hAnsi="Times New Roman"/>
                <w:sz w:val="25"/>
                <w:szCs w:val="25"/>
                <w:color w:val="auto"/>
                <w:vertAlign w:val="superscript"/>
              </w:rPr>
              <w:t>(17)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Bowden</w:t>
            </w:r>
            <w:r>
              <w:rPr>
                <w:rFonts w:ascii="Times New Roman" w:cs="Times New Roman" w:eastAsia="Times New Roman" w:hAnsi="Times New Roman"/>
                <w:sz w:val="25"/>
                <w:szCs w:val="25"/>
                <w:color w:val="auto"/>
                <w:vertAlign w:val="superscript"/>
              </w:rPr>
              <w:t>(18)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 w:type="dxa"/>
            <w:vAlign w:val="bottom"/>
          </w:tcPr>
          <w:p>
            <w:pPr>
              <w:spacing w:after="0"/>
              <w:rPr>
                <w:sz w:val="16"/>
                <w:szCs w:val="16"/>
                <w:color w:val="auto"/>
              </w:rPr>
            </w:pPr>
          </w:p>
        </w:tc>
        <w:tc>
          <w:tcPr>
            <w:tcW w:w="46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executive officers and directors as a group (16</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64"/>
        </w:trPr>
        <w:tc>
          <w:tcPr>
            <w:tcW w:w="20" w:type="dxa"/>
            <w:vAlign w:val="bottom"/>
          </w:tcPr>
          <w:p>
            <w:pPr>
              <w:spacing w:after="0"/>
              <w:rPr>
                <w:sz w:val="24"/>
                <w:szCs w:val="24"/>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26"/>
                <w:szCs w:val="26"/>
                <w:color w:val="auto"/>
                <w:vertAlign w:val="superscript"/>
              </w:rPr>
              <w:t>(15)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10,738,651</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10,738,651</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jc w:val="both"/>
        <w:ind w:left="540" w:hanging="424"/>
        <w:spacing w:after="0" w:line="250"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115,757 shares of common stock and 4,327,365 shares issuable upon the conversion of the Series Seed redeemable convertible preferred stock held by Biocon Limited, or Biocon Ltd, and (ii) 1,080,775 shares issuable upon the conversion of the Series Seed redeemable convertible preferred stock held by Biocon Pharma Inc., or Biocon Pharma. Kiran Mazumdar-Shaw, a member of our board of directors, is the managing member of Biocon Ltd and Biocon Pharma and may be deemed to have voting and dispositive power with respect to the shares held by Biocon Ltd and Biocon Pharma, and Ms. Mazumdar-Shaw may be deemed to beneficially own the shares held by Biocon Ltd. and Biocon Pharma. The address for Biocon Ltd is 20th KM, Hosur Road, Electronic City, Bangalore - 560100, and the address for Biocon Pharma is 485 State Hwy 1 South, Suite B 305, Iselin, NJ 08830.</w:t>
      </w:r>
    </w:p>
    <w:p>
      <w:pPr>
        <w:spacing w:after="0" w:line="2"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1,991,642 shares issuable upon the conversion of the Series B convertible preferred stock and 631,256 shares issuable upon the conversion of the Series C redeemable convertible preferred stock held by RA Capital Healthcare Fund, L.P., or RA Healthcare, (ii) 1,327,761 shares issuable upon the conversion of the Series B redeemable convertible preferred stock and 1,172,334 shares issuable upon the conversion of the Series C redeemable convertible preferred stock held by RA Capital Nexus Fund III, L.P., or RA Nexus, RA Capital Management, L.P., or RA Capital is the investment manager for RA Healthcare and RA Nexus. The general partner of RA Capital is RA Capital Management GP, LLC, or RA Capital GP, of which Peter Kolchinsky and Rajeev Shah are the managing members. RA Capital, RA Capital GP, Peter Kolchinsky and Rajeev Shah may be deemed to have voting and investment power over the shares held of record by RA Healthcare, RA Nexus. RA Capital, RA Capital GP, Peter Kolchinsky, and Rajeev Shah disclaim beneficial ownership of such shares, except to the extent of any pecuniary interest therein. The address of RA Capital is 200 Berkeley Street, 18th Floor, Boston, Massachusetts 02116.</w:t>
      </w:r>
    </w:p>
    <w:p>
      <w:pPr>
        <w:spacing w:after="0" w:line="3"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811,380 shares issuable upon conversion of our Series Seed redeemable convertible preferred stock directly held by Red Tree Venture Fund, L.P., or Red Tree Fund I, (ii) 1,847,044 shares issuable upon conversion of our Series B redeemable convertible preferred stock directly held by Red Tree Fund I and (iii) 392,085 shares issuable upon conversion of our Series C redeemable convertible preferred stock directly held by Red Tree Fund I. Red Tree GP, L.P., or Red Tree GP I, is the general partner of Red Tree Fund I and may be deemed to have sole voting and dispositive power over the shares held by Red Tree Fund I. Red Tree GP I and Heath Lukatch, the Managing Director of Red Tree GP I who may be deemed to share voting and dispositive power over the reported securities, disclaim beneficial ownership of the reported securities held by Red Tree Fund I except to the extent of any pecuniary interest therein. The principal address for Red Tree Venture Fund, L.P. is 2055 Woodside Road, Suite 270, Redwood City, California 94061.</w:t>
      </w:r>
    </w:p>
    <w:p>
      <w:pPr>
        <w:spacing w:after="0" w:line="3" w:lineRule="exact"/>
        <w:rPr>
          <w:rFonts w:ascii="Times New Roman" w:cs="Times New Roman" w:eastAsia="Times New Roman" w:hAnsi="Times New Roman"/>
          <w:sz w:val="18"/>
          <w:szCs w:val="18"/>
          <w:color w:val="auto"/>
        </w:rPr>
      </w:pPr>
    </w:p>
    <w:p>
      <w:pPr>
        <w:jc w:val="both"/>
        <w:ind w:left="540" w:right="20" w:hanging="424"/>
        <w:spacing w:after="0" w:line="253"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1,477,635 shares issuable upon conversion of our Series B redeemable convertible preferred stock directly held by Omega Fund VII, L.P., or Omega Fund, and (ii) 588,127 shares issuable upon conversion of our Series C redeemable convertible preferred stock directly held by Omega Fund. Omega Fund VII GP Manager, Ltd., or Omega Ltd, is the sole general partner of Omega Fund VII GP, L.P., or Omega GP, which is the sole general partner of Omega Fund; and each of Omega Ltd. and Omega GP may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color w:val="auto"/>
        </w:rPr>
        <w:t>be deemed to own beneficially the shares held by Omega Fund. Claudio Nessi, Francesco Draetta and Otello Stampacchia are the directors of Omega Ltd. and, as a result, may be deemed to share voting and investment power over the shares held directly by Omega Fund. Each of Dr. Stampacchia, Mr. Draetta, Dr. Nessi, Omega Ltd. and Omega GP disclaim beneficial ownership of the shares held by Omega Fund except to the extent of their pecuniary interest therein. The business address of the Omega Fund and its affiliates is 888 Boylston Street, Suite 1111, Boston, MA 02199.</w:t>
      </w:r>
    </w:p>
    <w:p>
      <w:pPr>
        <w:spacing w:after="0" w:line="3" w:lineRule="exact"/>
        <w:rPr>
          <w:sz w:val="20"/>
          <w:szCs w:val="20"/>
          <w:color w:val="auto"/>
        </w:rPr>
      </w:pPr>
    </w:p>
    <w:p>
      <w:pPr>
        <w:jc w:val="both"/>
        <w:ind w:left="540" w:hanging="424"/>
        <w:spacing w:after="0" w:line="250"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811,380 shares issuable upon conversion of our Series Seed redeemable convertible preferred stock directly held by Invus Public Equities, L.P., or Invus PE, (ii) 844,362 shares issuable upon conversion of our Series B redeemable convertible preferred stock directly held by Invus PE and (iii) 392,085 shares issuable upon conversion of our Series C redeemable convertible preferred stock directly held by Invus PE. Invus Public Equities Advisors, LLC, or Invus PE Advisors controls Invus PE, as its general partner and accordingly, may be deemed to beneficially own the shares held by Invus PE. The Geneva branch of Artal International S.C.A., or Artal International controls Invus PE Advisors, as its managing member and accordingly, may be deemed to beneficially own the shares held by Invus PE. Artal International Management S.A., or Artal International Management, as the managing partner of Artal International, controls Artal International and accordingly, may be deemed to beneficially own the shares that Artal International may be deemed to beneficially own. Artal Group S.A., or Artal Group, as the sole stockholder of Artal International Management, controls Artal International Management and accordingly, may be deemed to beneficially own the shares that Artal International Management may be deemed to beneficially own. Westend S.A., or Westend, as the parent company of Artal Group, controls Artal Group and accordingly, may be deemed to beneficially own the shares that Artal Group may be deemed to beneficially own. Stichting Administratiekantoor Westend, or the Stichting, as majority shareholder of Westend, controls Westend and accordingly, may be deemed to beneficially own the shares that Westend may be deemed to beneficially own. Mr. Amaury Wittouck, as the sole member of the board of the Stichting, controls the Stichting and accordingly, may be deemed to beneficially own the shares that the Stichting may be deemed to beneficially own. The address for Invus PE and Invus PE Advisors is 750 Lexington Avenue, 30th Floor, New York, NY 10022. The address for Artal International, Artal International Management, Artal Group, Westend and Mr. Wittouck is Valley Park, 44, Rue de la Vallée, L-2661, Luxembourg. The address for the Stichting is Claude Debussylaan, 46, 1082 MD Amsterdam, The Netherlands.</w:t>
      </w:r>
    </w:p>
    <w:p>
      <w:pPr>
        <w:spacing w:after="0" w:line="6" w:lineRule="exact"/>
        <w:rPr>
          <w:rFonts w:ascii="Times New Roman" w:cs="Times New Roman" w:eastAsia="Times New Roman" w:hAnsi="Times New Roman"/>
          <w:sz w:val="18"/>
          <w:szCs w:val="18"/>
          <w:color w:val="auto"/>
        </w:rPr>
      </w:pPr>
    </w:p>
    <w:p>
      <w:pPr>
        <w:jc w:val="both"/>
        <w:ind w:left="540" w:hanging="424"/>
        <w:spacing w:after="0" w:line="251"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1,960,425 shares issuable upon the conversion of the Series C convertible and redeemable preferred stock held by TPG LSI Rise Butterfly, L.P., a Delaware limited partnership, or TPG LSI. The general partner of TPG LSI is TPG LSI SPV GP, LLC, a Delaware limited liability company, whose sole member is TPG LSI GenPar, L.P., a Delaware limited partnership, whose general partner is TPG LSI GenPar Advisors, LLC, a Delaware limited liability company, whose sole member is TPG Operating Group I, L.P., a Delaware limited partnership, whose general partner is TPG Holdings I-A, LLC, a Delaware limited liability company, whose sole member is TPG Operating Group II, L.P., a Delaware limited partnership, whose general partner is TPG Holdings II-A, LLC, a Delaware limited liability company, whose sole member is TPG GPCo, LLC, a Delaware limited liability company, whose sole member is TPG Inc., a Delaware corporation, whose shares of Class B common stock (which represent a majority of the combined voting power of the common stock) are held collectively by (i) TPG Group Holdings (SBS), L.P., a Delaware limited partnership, whose general partner is TPG Group Holdings (SBS) Advisors, LLC, a Delaware limited liability company, (ii) Alabama Investments (Parallel), LP, a Delaware limited partnership, whose general partner is Alabama Investments (Parallel) GP, LLC, a Delaware limited liability company (“Alabama Investments”), (iii) Alabama Investments (Parallel) Founder A, LP, a Delaware limited partnership, whose general partner is Alabama Investments, and (iv) Alabama Investments (Parallel) Founder G, LP, a Delaware limited partnership, whose general partner is Alabama Investments. The managing member of each of TPG Group Holdings (SBS) Advisors, LLC and Alabama Investments is TPG GP A, LLC, a Delaware limited liability company, which is owned by entities owned by David Bonderman, James G. Coulter and Jon Winkelried. Because of the relationship of Messrs. Bonderman, Coulter and Winkelried to TPG GP A, LLC, each of Messrs. Bonderman, Coulter and Winkelried may be deemed to beneficially own the securities held by TPG LSI. Messrs. Bonderman, Coulter and Winkelried disclaim beneficial ownership of the securities held by TPG LSI except to the extent of their pecuniary interest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therein, if any. The address of TPG GP A, LLC and each of Messrs. Bonderman, Coulter and Winkelried is c/o TPG Inc., 301 Commerce Street, Suite 3300, Fort Worth, Texas 76102.</w:t>
      </w:r>
    </w:p>
    <w:p>
      <w:pPr>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211,140 shares of restricted common stock and (ii) 363,183 shares of common stock subject to underlying options exercisable within 60 days of August 1, 2024.</w:t>
      </w:r>
    </w:p>
    <w:p>
      <w:pPr>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111,126 shares of restricted common stock and (ii) 235,496 shares of common stock subject to underlying options exercisable within 60 days of August 1, 2024.</w:t>
      </w:r>
    </w:p>
    <w:p>
      <w:pPr>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66,676 shares of common stock subject to an underlying option with an early exercise feature and (ii) 245,986 shares of common stock subject to underlying options exercisable within 60 days of August 1, 2024.</w:t>
      </w:r>
    </w:p>
    <w:p>
      <w:pPr>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16,669 shares of restricted common stock and (ii) 16,547 shares of common stock subject to underlying options exercisable within 60 days of August 1, 2024.</w:t>
      </w:r>
    </w:p>
    <w:p>
      <w:pPr>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27,781 shares of restricted common stock and (ii) 20,367 shares of common stock subject to underlying options exercisable within 60 days of August 1, 2024.</w:t>
      </w:r>
    </w:p>
    <w:p>
      <w:pPr>
        <w:jc w:val="both"/>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above. In addition, consists of (i) 324,552 shares issuable upon the conversion of the Series Seed redeemable convertible preferred stock held by Glentech International, a private company limited by shares of which Ms. Mazumdar-Shaw is the managing member, (ii) 432,736 shares issuable upon the conversion of the Series Seed redeemable convertible preferred stock held by Carica Investments, a partnership firm of which Ms. Mazumdar-Shaw is the managing partner, (iii) 5,729 shares of restricted common stock and (iv) 16,669 shares of common stock subject to underlying options exercisable within 60 days of August 1,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14,875 shares of common stock subject to underlying options exercisable within 60 days of August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14,875 shares of common stock subject to underlying options exercisable within 60 days of August 1, 2024.</w:t>
      </w:r>
    </w:p>
    <w:p>
      <w:pPr>
        <w:spacing w:after="0" w:line="9"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(3), (7) through (14) above; also includes (i) 88,258 shares of common stock subject to underlying options exercisable within 60 days of August 1, 2024 held by David Raben, M.D., the Company’s Chief Medical Officer and (ii) 18,256 shares of common stock subject to underlying options exercisable within 60 days of August 1, 2024 held by Lara Meisner, the Company’s Chief Legal Officer.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Patel resigned from our board of directors effective August 21, 2024 and is now a board observer.</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Powell was appointed to our board of directors on August 6, 2024. As of August 6, 2024, Dr. Powell does not hold shares of common stock subject to underlying options exercisable within 60 days of August 6, 2024.</w:t>
      </w:r>
    </w:p>
    <w:p>
      <w:pPr>
        <w:ind w:left="540" w:hanging="424"/>
        <w:spacing w:after="0" w:line="26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Bowden was appointed to our board of directors on August 6, 2024. As of August 6, 2024, Dr. Bowden does not hold shares of common stock subject to underlying options exercisable within 60 days of August 6, 2024.</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fifth amended and restated certificate of incorporation, which will be effective immediately prior to the closing of this offering and amended and restated bylaws, which will be effective upon the effectiveness of the registration statement of which this prospectus is a part. The descriptions of the common stock and preferred stock give effect to changes to our capital structure that will occur immediately prior to the completion of this offering. We refer in this section to our fifth amended and restated certificate of incorporation as our certificate of incorporation, and we refer to our amended and restated bylaws as our bylaws.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the completion of this offering, our authorized capital stock will consist of 500,000,000 shares of common stock, par value $0.0001 per share, and 10,000,000 shares of preferred stock, par value $0.0001 per share, all of which shares of preferred stock will be undesignated.</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2024, 34,260,925 shares of our common stock were outstanding and held by 86 stockholders of record. This amount assumes the conversion of all outstanding shares of our convertible and redeemable preferred stock into common stock, which will occur immediately prior to the closing of this offering and includes unvested restricted common stock and unvested early exercise stock options as of June 30,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offering, all outstanding shares of our redeemable convertible preferred stock will be converted into shares of our common stock. 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4,621,209 shares of common stock were issuable upon the exercise of outstanding stock options under the 2019 Plan, at a weighted-average exercise price of $4.62 per share (in August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2024, options to purchase 3,240,096 shares of common stock were granted at a weighted-average exercise price of $9.24 per share). 2,453,616 shares of our common stock will be reserved for future issuance under the 2024 Plan, which will become effective once the registration statement of which this prospectus forms a part is declared effective, as well as any future automatic annual increases in the number of shares of common stock reserved for issuance under the 2024 Plan and any shares underlying outstanding stock awards granted under the 2021 Plan, that expire or are repurchased, forfeited, cancelled, or withheld. For additional information regarding terms of our equity incentive plans, see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 Benefit and Equity Compensation Plans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certain holders of our common stock, including those issuable upon the conversion of redeemable convertible preferred stock, will be entitled to rights with respect to the registration of these securities under the Securities Act. These rights are provided under the terms of an investors’ rights agreement between us and the holders of our redeemable convertible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Beginning six months after the completion of this offering, certain holders of our common stock, including those issuable upon the conversion of shares of our redeemable convertible preferred stock upon closing of this offering, will be entitled to demand registration rights. Under the terms of the investors’ rights agreement, we will be required, upon the written request of at least ten percent (10%) of the holders of the registerable securities then outstanding that would result in an aggregate offering price of at least $10,000,000, to file a registration statement on Form S-1 with respect to the registrable securities then outstanding and to use commercially reasonable efforts to effect the registration of all or a portion of these shares for public resale.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Short-form Registration Rights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certain holders of our common stock, including those issuable upon the conversion of shares of our redeemable convertible preferred stock upon closing of this offering, are also entitled to short-form registration rights. Pursuant to the investors’ rights agreement, if we are eligible to file a registration statement on Form S-3, upon the written request of at least twenty percent (20%) in interest of these holders to sell registrable securities at an aggregate price of at least $4,000,000, we will be required to use commercially reasonable efforts to effect a registration of such shares. We are required to effect only one registration in any twelve month period pursuant to this provision of the investor rights agreement.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certain holders of our common stock, including those issuable upon the conversion of shares of our redeemable convertible preferred stock upon closing of this offering, are entitled to piggyback registration rights.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 rights agreement will terminate on the fourth anniversary of the completion of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will provide for the division of our board of directors into three classes serving staggered three-year terms, with one class being elected each year. Our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our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Additionally, our bylaws will provide that any person or entity holding, owning or otherwise acquiring any interest in any of our securities shall be deemed to have notice of and consented to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532"/>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5480" w:right="260" w:hanging="4932"/>
        <w:spacing w:after="0" w:line="454" w:lineRule="auto"/>
        <w:tabs>
          <w:tab w:leader="none" w:pos="107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196</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have applied to list our common stock on the Nasdaq Global Market under the trading symbol “BCAX.”</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Computershare Trust Company, N.A.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Prior to this offering, there has been no public market for our shares.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Based on the number of shares outstanding as of June 30, 2024, upon the completion of this offering, 48,966,807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a person who has beneficially owned restricted stock for at least six months would be entitled to sell their securities provided that</w:t>
      </w:r>
    </w:p>
    <w:p>
      <w:pPr>
        <w:spacing w:after="0" w:line="27" w:lineRule="exact"/>
        <w:rPr>
          <w:sz w:val="20"/>
          <w:szCs w:val="20"/>
          <w:color w:val="auto"/>
        </w:rPr>
      </w:pPr>
    </w:p>
    <w:p>
      <w:pPr>
        <w:jc w:val="both"/>
        <w:ind w:left="120" w:hanging="4"/>
        <w:spacing w:after="0" w:line="253" w:lineRule="auto"/>
        <w:tabs>
          <w:tab w:leader="none" w:pos="33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2"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then outstanding, which will equal 489,668 shares immediately after this offering assuming no exercise of the underwriters’ option to purchase additional shares, based on the number of shares outstanding as of June 30, 2024; 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the sale;</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included elsewhere in this prospectus and will become eligible for sale upon the expiration of the restrictions set forth in those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all of our directors and executive officers, and the holders of approximately 97% of our capital stock and securities convertible into or exchangeable or exercisable for our capital stock have entered into lock-up agreements with the underwriters and/or are subject to market standoff agreements or other agreements with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which prevents them from selling any of our common stock or any securities convertible into or exercisable or exchangeable for common stock for a period of not less than 180 days from the date of this prospectus without the prior written consent of the representatives, subject to certain exceptions. See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appearing elsewhere in this prospectus for more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w:t>
      </w:r>
      <w:r>
        <w:rPr>
          <w:rFonts w:ascii="Times New Roman" w:cs="Times New Roman" w:eastAsia="Times New Roman" w:hAnsi="Times New Roman"/>
          <w:sz w:val="18"/>
          <w:szCs w:val="18"/>
          <w:i w:val="1"/>
          <w:iCs w:val="1"/>
          <w:color w:val="auto"/>
        </w:rPr>
        <w:t>Description of Capital Stock—Registration Rights</w:t>
      </w:r>
      <w:r>
        <w:rPr>
          <w:rFonts w:ascii="Times New Roman" w:cs="Times New Roman" w:eastAsia="Times New Roman" w:hAnsi="Times New Roman"/>
          <w:sz w:val="18"/>
          <w:szCs w:val="18"/>
          <w:color w:val="auto"/>
        </w:rPr>
        <w:t>” appearing elsewhere in this prospectus for more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COMMON STOCK</w:t>
      </w:r>
    </w:p>
    <w:p>
      <w:pPr>
        <w:spacing w:after="0" w:line="22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is a summary of material U.S. federal income tax consequences to non-U.S. holders (as defined below) of the purchase, ownership and disposition of our common stock issued pursuant to this offering. This discussion is based on the Internal Revenue Code of 1986, as amended, or the Code, Treasury Regulations promulgated thereunder, judicial decisions, and published rulings and administrative pronouncements of the U.S. Internal Revenue Service, or the IRS, all as in effect on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foreign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97" w:lineRule="exact"/>
        <w:rPr>
          <w:sz w:val="20"/>
          <w:szCs w:val="20"/>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or disregarded entities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dealers or traders in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option or otherwise as compensation;</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apply Section 1400Z-2 of the Code to gains recognized with respect to shares of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Partnerships holding our common stock and the partners in such partnerships are urged to consult their tax advisors about the particular U.S. federal income tax consequences to them of holding and disposing of our common stock.</w:t>
      </w:r>
    </w:p>
    <w:p>
      <w:pPr>
        <w:spacing w:after="0" w:line="16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OR UNDER ANY APPLICABLE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for U.S. federal income tax purposes:</w:t>
      </w:r>
    </w:p>
    <w:p>
      <w:pPr>
        <w:spacing w:after="0" w:line="131"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organization taxable as a corporation for U.S. federal income taxes that is not created or organized under the laws of the United States,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trust or estate, the income of which is not subject to U.S. federal income tax on a net income basis.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described under the section 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w:t>
      </w:r>
    </w:p>
    <w:p>
      <w:pPr>
        <w:spacing w:after="0" w:line="18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U.S., and dividends paid on our common stock are effectively connected with such holder’s U.S. trade or business (and are attributable to such holder’s permanent establishment or fixed base in the U.S. if required by an applicable tax treaty), the non-U.S. holder generally will be exempt from U.S. federal withholding tax. To claim the exemption, the non-U.S. holder must generally furnish a valid IRS Form W-8ECI (or applicable successor form), certifying that the dividends are effectively connected with the non-U.S. Holder’s conduct of a trade or business within the U.S. to the applicable withholding agent.</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U.S. federal income tax on a net income basis at the regular U.S. federal income tax rates in the same manner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if such holder were a resident of the United States. A non-U.S. holder that is a foreign corporation also may be subject to an additional branch profits tax equal to 30% (or such lower rate specified by an applicable income tax treaty) of its effectively connected dividends, as adjusted for certain items.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w:t>
      </w:r>
      <w:r>
        <w:rPr>
          <w:rFonts w:ascii="Times New Roman" w:cs="Times New Roman" w:eastAsia="Times New Roman" w:hAnsi="Times New Roman"/>
          <w:sz w:val="18"/>
          <w:szCs w:val="18"/>
          <w:i w:val="1"/>
          <w:iCs w:val="1"/>
          <w:color w:val="auto"/>
        </w:rPr>
        <w:t>Gain on Disposition of our Common Stock</w:t>
      </w:r>
      <w:r>
        <w:rPr>
          <w:rFonts w:ascii="Times New Roman" w:cs="Times New Roman" w:eastAsia="Times New Roman" w:hAnsi="Times New Roman"/>
          <w:sz w:val="18"/>
          <w:szCs w:val="18"/>
          <w:color w:val="auto"/>
        </w:rPr>
        <w:t>”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 regarding backup withholding and FATCA (as defined below), a non-U.S. holder generally will not be subject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on any gain realized on the sale or other taxable disposition of our common stock, unless:</w:t>
      </w:r>
    </w:p>
    <w:p>
      <w:pPr>
        <w:spacing w:after="0" w:line="112" w:lineRule="exact"/>
        <w:rPr>
          <w:sz w:val="20"/>
          <w:szCs w:val="20"/>
          <w:color w:val="auto"/>
        </w:rPr>
      </w:pPr>
    </w:p>
    <w:p>
      <w:pPr>
        <w:ind w:left="1080" w:right="20" w:hanging="532"/>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U.S. and, if required by an applicable income tax treaty, is attributable to a permanent establishment or fixed base maintained by the non-U.S. holder in the U.S.;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U.S. for a period or periods aggregating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flat 30% rate (or such lower rate specified by an applicable income tax treaty), but may be offset by certain U.S.- source capital losses of the non-U.S. Holder (even though the individual is not considered a resident of the United States), provided that the non-U.S. holder has timely filed U.S. federal income tax returns with respect to such losses.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21"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 source dividends or interest. Under these proposed Treasury Regulations (which may be relied upon by taxpayers prior to finalization), FATCA withholding does not apply to gross proceeds from sales or other dispositions of our common stock.</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tax advisors regarding the possible implications of FATCA on their investment in our common stock.</w:t>
      </w:r>
    </w:p>
    <w:p>
      <w:pPr>
        <w:spacing w:after="0" w:line="162"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TAX ADVISOR REGARDING THE TAX CONSEQUENCES OF PURCHASING, HOLDING AND DISPOSING OF OUR COMMON STOCK, INCLUDING THE CONSEQUENCES OF ANY RECENT AND PROPOSED CHANGE IN APPLICABLE LAW, AS WELL AS TAX CONSEQUENCES ARISING UNDER ANY STATE, LOCAL, NON-U.S. OR U.S. FEDERAL NON-INCOME TAX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TD Securities (USA) LLC, Cantor Fitzgerald &amp; Co. and Stifel, Nicolaus &amp; Company, Incorporated are acting as representatives, have severally agreed to purchase, and we have agreed to sell to them, severally, the number of shares of common stock indicated below:</w:t>
      </w:r>
    </w:p>
    <w:p>
      <w:pPr>
        <w:spacing w:after="0" w:line="188"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360" w:type="dxa"/>
            <w:vAlign w:val="bottom"/>
            <w:vMerge w:val="restart"/>
          </w:tcPr>
          <w:p>
            <w:pPr>
              <w:spacing w:after="0"/>
              <w:rPr>
                <w:sz w:val="13"/>
                <w:szCs w:val="13"/>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20" w:type="dxa"/>
            <w:vAlign w:val="bottom"/>
          </w:tcPr>
          <w:p>
            <w:pPr>
              <w:spacing w:after="0"/>
              <w:rPr>
                <w:sz w:val="13"/>
                <w:szCs w:val="13"/>
                <w:color w:val="auto"/>
              </w:rPr>
            </w:pPr>
          </w:p>
        </w:tc>
        <w:tc>
          <w:tcPr>
            <w:tcW w:w="10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336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4520" w:type="dxa"/>
            <w:vAlign w:val="bottom"/>
            <w:gridSpan w:val="5"/>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rPr>
              <w:t>14,705,882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2,205,882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2,205,882 shares of common stock.</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54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494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4940" w:type="dxa"/>
            <w:vAlign w:val="bottom"/>
            <w:gridSpan w:val="2"/>
            <w:shd w:val="clear" w:color="auto" w:fill="CCEEFF"/>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200" w:type="dxa"/>
            <w:vAlign w:val="bottom"/>
          </w:tcPr>
          <w:p>
            <w:pPr>
              <w:spacing w:after="0"/>
              <w:rPr>
                <w:sz w:val="24"/>
                <w:szCs w:val="24"/>
                <w:color w:val="auto"/>
              </w:rPr>
            </w:pPr>
          </w:p>
        </w:tc>
        <w:tc>
          <w:tcPr>
            <w:tcW w:w="444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204</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$4.1 million. We have agreed to reimburse the underwriters for expenses relating to clearance of this offering with the Financial Industry Regulatory Authority up to $35,000 and expenses incurred in connection with the directed share program.</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have our common stock listed on The Nasdaq Global Market under the symbol “BCAX.”</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and all directors and officers and holders of approximately 97% of our outstanding common stock, stock options and other securities convertible into, exercisable or exchangeable for our common stock outstanding immediately prior to the closing of this offering have agreed that, without the prior written consent of Morgan Stanley &amp; Co. LLC and TD Securities (USA) LLC on behalf of the underwriters, we and they will not, and will not publicly disclose an intention to, during the period ending 180 days after the date of this prospectus, or the restricted period:</w:t>
      </w:r>
    </w:p>
    <w:p>
      <w:pPr>
        <w:spacing w:after="0" w:line="85" w:lineRule="exact"/>
        <w:rPr>
          <w:sz w:val="20"/>
          <w:szCs w:val="20"/>
          <w:color w:val="auto"/>
        </w:rPr>
      </w:pPr>
    </w:p>
    <w:p>
      <w:pPr>
        <w:jc w:val="both"/>
        <w:ind w:left="1080" w:hanging="532"/>
        <w:spacing w:after="0" w:line="26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 that, without the prior written consent of Morgan Stanley &amp; Co. LLC and TD Securities (USA)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above do not apply to us with respect to:</w:t>
      </w:r>
    </w:p>
    <w:p>
      <w:pPr>
        <w:spacing w:after="0" w:line="131" w:lineRule="exact"/>
        <w:rPr>
          <w:sz w:val="20"/>
          <w:szCs w:val="20"/>
          <w:color w:val="auto"/>
        </w:rPr>
      </w:pPr>
    </w:p>
    <w:p>
      <w:pPr>
        <w:ind w:left="1080" w:hanging="348"/>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30" w:lineRule="exact"/>
        <w:rPr>
          <w:rFonts w:ascii="Times New Roman" w:cs="Times New Roman" w:eastAsia="Times New Roman" w:hAnsi="Times New Roman"/>
          <w:sz w:val="18"/>
          <w:szCs w:val="18"/>
          <w:color w:val="auto"/>
        </w:rPr>
      </w:pPr>
    </w:p>
    <w:p>
      <w:pPr>
        <w:ind w:left="1080" w:right="20" w:hanging="358"/>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warrant or the conversion of a security outstanding on the date of this prospectus as described in the registration statement and this prospectus;</w:t>
      </w:r>
    </w:p>
    <w:p>
      <w:pPr>
        <w:spacing w:after="0" w:line="67" w:lineRule="exact"/>
        <w:rPr>
          <w:rFonts w:ascii="Times New Roman" w:cs="Times New Roman" w:eastAsia="Times New Roman" w:hAnsi="Times New Roman"/>
          <w:sz w:val="18"/>
          <w:szCs w:val="18"/>
          <w:color w:val="auto"/>
        </w:rPr>
      </w:pPr>
    </w:p>
    <w:p>
      <w:pPr>
        <w:jc w:val="both"/>
        <w:ind w:left="1080" w:right="20" w:hanging="348"/>
        <w:spacing w:after="0" w:line="258"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options, restricted stock or other equity awards and the issuance of common stock or securities convertible into or exercisable for common stock (whether upon the exercise of stock options or otherwise) to employees, officers, directors, advisors, or consultants pursuant to the terms of an employee benefit plan in effect on the date of this prospectus and as described in the registration statement and this prospectus, provided that we cause each recipient of such grant to execute and deliver a lock-up agreement for the remainder of the restricted period;</w:t>
      </w:r>
    </w:p>
    <w:p>
      <w:pPr>
        <w:spacing w:after="0" w:line="88" w:lineRule="exact"/>
        <w:rPr>
          <w:rFonts w:ascii="Times New Roman" w:cs="Times New Roman" w:eastAsia="Times New Roman" w:hAnsi="Times New Roman"/>
          <w:sz w:val="18"/>
          <w:szCs w:val="18"/>
          <w:color w:val="auto"/>
        </w:rPr>
      </w:pPr>
    </w:p>
    <w:p>
      <w:pPr>
        <w:ind w:left="1080" w:hanging="358"/>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S-8 to register common stock issuable pursuant to any employee benefit plans, qualified stock option plans or other employee compensation plans, described in the registration statement and this prospectus;</w:t>
      </w:r>
    </w:p>
    <w:p>
      <w:pPr>
        <w:spacing w:after="0" w:line="67" w:lineRule="exact"/>
        <w:rPr>
          <w:rFonts w:ascii="Times New Roman" w:cs="Times New Roman" w:eastAsia="Times New Roman" w:hAnsi="Times New Roman"/>
          <w:sz w:val="18"/>
          <w:szCs w:val="18"/>
          <w:color w:val="auto"/>
        </w:rPr>
      </w:pPr>
    </w:p>
    <w:p>
      <w:pPr>
        <w:jc w:val="both"/>
        <w:ind w:left="1080" w:right="20" w:hanging="348"/>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 commercial or other collaborative transaction or the acquisition or license of the business, property,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0"/>
        <w:spacing w:after="0" w:line="256" w:lineRule="auto"/>
        <w:rPr>
          <w:sz w:val="20"/>
          <w:szCs w:val="20"/>
          <w:color w:val="auto"/>
        </w:rPr>
      </w:pPr>
      <w:r>
        <w:rPr>
          <w:rFonts w:ascii="Times New Roman" w:cs="Times New Roman" w:eastAsia="Times New Roman" w:hAnsi="Times New Roman"/>
          <w:sz w:val="18"/>
          <w:szCs w:val="18"/>
          <w:color w:val="auto"/>
        </w:rPr>
        <w:t>technology or other assets of another individual or entity or the assumption of an employee benefit plan in connection with a merger or acquisition, other than for capital raising purposes; provided that the aggregate number of common stock or any securities convertible into, or exercisable or exchangeable for, common stock that we may issue or agree to issue pursuant to this clause (e) shall not exceed 3% of the total outstanding share capital of the Company immediately following such issuance; and provided further, that the recipients of any such shares of common stock and securities issued pursuant to this clause (e) during the restricted period described above shall enter into a lock-up agreement for the remainder of such restricted period; or</w:t>
      </w:r>
    </w:p>
    <w:p>
      <w:pPr>
        <w:spacing w:after="0" w:line="93" w:lineRule="exact"/>
        <w:rPr>
          <w:sz w:val="20"/>
          <w:szCs w:val="20"/>
          <w:color w:val="auto"/>
        </w:rPr>
      </w:pPr>
    </w:p>
    <w:p>
      <w:pPr>
        <w:jc w:val="both"/>
        <w:ind w:left="1080" w:hanging="328"/>
        <w:spacing w:after="0" w:line="258"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any of our secuirtyholders, officers or directors pursuant to Rule 10b5-1 under the Exchange Act for the transfer of shares of our common stock, provided that (a) such plan does not provide for the transfer of common stock during the restricted period and (b)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above do not apply to our directors, officers and securityholders with respect to:</w:t>
      </w:r>
    </w:p>
    <w:p>
      <w:pPr>
        <w:spacing w:after="0" w:line="131" w:lineRule="exact"/>
        <w:rPr>
          <w:sz w:val="20"/>
          <w:szCs w:val="20"/>
          <w:color w:val="auto"/>
        </w:rPr>
      </w:pPr>
    </w:p>
    <w:p>
      <w:pPr>
        <w:jc w:val="both"/>
        <w:ind w:left="1080" w:hanging="348"/>
        <w:spacing w:after="0" w:line="254"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 from the underwriters in this offering (other than any issuer-directed shares of common stock purchased in this offering by an officer or director) or (ii) in open market transactions after the completion of this offering, provided that no filing under Section 16(a) of the Exchange Act is required or voluntarily made during the restricted period in connection with subsequent sales of common stock or other securities acquired in this offering or such open market or other transactions (other than (1) Schedule 13 filings filed with the SEC and (2) any Form 4 or Form 5 required to be filed under the Exchange Act if the undersigned is subject to Section 16 reporting under the Exchange Act and indicating by footnote disclosure or otherwise the nature of the transaction and that such securities were acquired from the underwriters in this offering or in open market transactions after completion of this offering);</w:t>
      </w:r>
    </w:p>
    <w:p>
      <w:pPr>
        <w:spacing w:after="0" w:line="97" w:lineRule="exact"/>
        <w:rPr>
          <w:rFonts w:ascii="Times New Roman" w:cs="Times New Roman" w:eastAsia="Times New Roman" w:hAnsi="Times New Roman"/>
          <w:sz w:val="18"/>
          <w:szCs w:val="18"/>
          <w:color w:val="auto"/>
        </w:rPr>
      </w:pPr>
    </w:p>
    <w:p>
      <w:pPr>
        <w:jc w:val="both"/>
        <w:ind w:left="1080" w:hanging="358"/>
        <w:spacing w:after="0" w:line="254"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or to a charitable organization or educational institution, (ii) to any immediate family member or any trust for the direct or indirect benefit of the party subject to the lock-up agreement or an immediate family member of such party, or if such party is a trust, to a grantor, trustee or beneficiary of the trust (including such beneficiary’s estate) or (iii) by will, other testamentary document or intestate succession to the legal representative, heir, beneficiary or a member of the immediate family of the party subject to the lock-up agreement upon death; provided that, (i) such transfer does not involve a disposition for value, (ii) each donee or transferee signs and delivers a lock-up agreement substantially in the form described in this prospectus and (iii) no filing under Section 16(a) of the Exchange Act reporting a reduction in beneficial ownership of shares of common stock is required or voluntarily made during the restricted period;</w:t>
      </w:r>
    </w:p>
    <w:p>
      <w:pPr>
        <w:spacing w:after="0" w:line="97" w:lineRule="exact"/>
        <w:rPr>
          <w:rFonts w:ascii="Times New Roman" w:cs="Times New Roman" w:eastAsia="Times New Roman" w:hAnsi="Times New Roman"/>
          <w:sz w:val="18"/>
          <w:szCs w:val="18"/>
          <w:color w:val="auto"/>
        </w:rPr>
      </w:pPr>
    </w:p>
    <w:p>
      <w:pPr>
        <w:jc w:val="both"/>
        <w:ind w:left="1080" w:hanging="348"/>
        <w:spacing w:after="0" w:line="253"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party subject to the lock-up agreement is an entity, transfers, dispositions or distributions of shares of common stock or any security convertible into or exercisable or exchangeable for common stock (i) to another corporation, partnership, limited liability company, investment fund trust or other business entity that is a subsidiary or an affiliate (within the meaning set forth in Rule 405 under the Securities Act of 1933, as amended, and including the subsidiaries of the party subject to the lock-up agreement) of such party, (ii) to any investment fund or other entity controlling, controlled by, managing or managed by or under common control or management with such party (including, for the avoidance of doubt, where such party is a partnership, to its general partner or a successor partnership or fund, or any other funds managed by such partnership) or (iii) to its stockholders, limited partners, general partners, members, beneficiaries or other equityholders or to the estate of any such stockholders, limited partners, general partners, members, beneficiaries or equityholders, provided that, (A) each transferee or distributee signs and delivers a lock-up agreement substantially in the form described in this prospectus, (B) no filing under the Exchange Act reporting a reduction in beneficial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ownership of shares of common stock is required or voluntarily made during the restricted period and (C) such transfer does not involve a disposition for value;</w:t>
      </w:r>
    </w:p>
    <w:p>
      <w:pPr>
        <w:spacing w:after="0" w:line="67" w:lineRule="exact"/>
        <w:rPr>
          <w:sz w:val="20"/>
          <w:szCs w:val="20"/>
          <w:color w:val="auto"/>
        </w:rPr>
      </w:pPr>
    </w:p>
    <w:p>
      <w:pPr>
        <w:ind w:left="1080" w:hanging="358"/>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or any security convertible into or exercisable or exchangeable for common stock to us</w:t>
      </w:r>
    </w:p>
    <w:p>
      <w:pPr>
        <w:spacing w:after="0" w:line="27" w:lineRule="exact"/>
        <w:rPr>
          <w:rFonts w:ascii="Times New Roman" w:cs="Times New Roman" w:eastAsia="Times New Roman" w:hAnsi="Times New Roman"/>
          <w:sz w:val="18"/>
          <w:szCs w:val="18"/>
          <w:color w:val="auto"/>
        </w:rPr>
      </w:pPr>
    </w:p>
    <w:p>
      <w:pPr>
        <w:jc w:val="both"/>
        <w:ind w:left="1080" w:firstLine="8"/>
        <w:spacing w:after="0" w:line="252" w:lineRule="auto"/>
        <w:tabs>
          <w:tab w:leader="none" w:pos="132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contractual arrangement in effect on the date of the lock-up agreement and described in this prospectus or (ii) in connection with the termination of the employment with or service to the Company, provided that no public disclosure or filing under Section 16(a) of the Exchange Act is required or voluntarily made during the restricted period in connection with any such transfers or dispositions (other than (1) Schedule 13 filings filed with the SEC, and (2) any Form 4 or Form 5 required to be filed under the Exchange Act if the party is subject to Section 16 reporting under the Exchange Act and indicating by footnote disclosure or otherwise the nature of the transfer or disposition);</w:t>
      </w:r>
    </w:p>
    <w:p>
      <w:pPr>
        <w:spacing w:after="0" w:line="95" w:lineRule="exact"/>
        <w:rPr>
          <w:rFonts w:ascii="Times New Roman" w:cs="Times New Roman" w:eastAsia="Times New Roman" w:hAnsi="Times New Roman"/>
          <w:sz w:val="18"/>
          <w:szCs w:val="18"/>
          <w:color w:val="auto"/>
        </w:rPr>
      </w:pPr>
    </w:p>
    <w:p>
      <w:pPr>
        <w:jc w:val="both"/>
        <w:ind w:left="1080" w:hanging="348"/>
        <w:spacing w:after="0" w:line="254"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or any security convertible into or exercisable or exchangeable for common stock in connection with the conversion of any convertible security into, or the exercise of any option or warrant for, common stock (including by way of “net” or “cashless” exercise solely to cover withholding tax obligations in connection with such exercise and any transfer to us for the payment of taxes as a result of such exercise) in each case pursuant to any equity incentive plan described in this prospectus and to the extent permitted by the instruments representing such options outstanding as of the date of this prospectus, provided that any remaining shares of common stock or other securities received upon such vesting, settlement or exercise remain subject to the lock-up restrictions described in this prospectus; and provided further that no public disclosure or filing is made voluntarily during the restricted period and to the extent a filing under Section 16(a) of the Exchange Act is required during the restricted period it clearly indicates that (i) the filing relates to the circumstances described in this clause (e) and (ii) no securities were sold by the party subject to the lock-up;</w:t>
      </w:r>
    </w:p>
    <w:p>
      <w:pPr>
        <w:spacing w:after="0" w:line="93" w:lineRule="exact"/>
        <w:rPr>
          <w:rFonts w:ascii="Times New Roman" w:cs="Times New Roman" w:eastAsia="Times New Roman" w:hAnsi="Times New Roman"/>
          <w:sz w:val="18"/>
          <w:szCs w:val="18"/>
          <w:color w:val="auto"/>
        </w:rPr>
      </w:pPr>
    </w:p>
    <w:p>
      <w:pPr>
        <w:ind w:left="1080" w:right="20" w:hanging="328"/>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convertible preferred stock into shares of common stock as described in this prospectus, provided that, in each case, such shares continue to be subject to the restrictions on transfer set forth in the lock-up agreement;</w:t>
      </w:r>
    </w:p>
    <w:p>
      <w:pPr>
        <w:spacing w:after="0" w:line="67" w:lineRule="exact"/>
        <w:rPr>
          <w:rFonts w:ascii="Times New Roman" w:cs="Times New Roman" w:eastAsia="Times New Roman" w:hAnsi="Times New Roman"/>
          <w:sz w:val="18"/>
          <w:szCs w:val="18"/>
          <w:color w:val="auto"/>
        </w:rPr>
      </w:pPr>
    </w:p>
    <w:p>
      <w:pPr>
        <w:jc w:val="both"/>
        <w:ind w:left="1080" w:hanging="358"/>
        <w:spacing w:after="0" w:line="254"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transfers of common stock or any security convertible into or exercisable or exchangeable for common stock pursuant to a bona fide third-party tender offer for shares of our capital stock made to all holders of our securities, merger, consolidation or other similar transaction approved by our board of directors the result of which is that any person (as defined in Section 13(d)(3) of the Exchange Act), or group of persons, other than the Company, becomes the beneficial owner (as defined in Rules 13d-3 and 13d-5 of the Exchange Act) of more than 50% of the total voting power of our voting stock and (ii) entry into any lock-up, voting or similar agreement pursuant to which the party subject to the lock-up may agree to transfer, sell, tender or otherwise dispose of common stock or such other securities in connection with a transaction described in (i) above; provided that in the event that such change of control transaction is not completed, the common stock (or any security convertible into or exercisable or exchangeable for common stock) owned by the party subject to the lock-up agreement remains subject to the restrictions contained in the lock-up agreement; or</w:t>
      </w:r>
    </w:p>
    <w:p>
      <w:pPr>
        <w:spacing w:after="0" w:line="93" w:lineRule="exact"/>
        <w:rPr>
          <w:rFonts w:ascii="Times New Roman" w:cs="Times New Roman" w:eastAsia="Times New Roman" w:hAnsi="Times New Roman"/>
          <w:sz w:val="18"/>
          <w:szCs w:val="18"/>
          <w:color w:val="auto"/>
        </w:rPr>
      </w:pPr>
    </w:p>
    <w:p>
      <w:pPr>
        <w:jc w:val="both"/>
        <w:ind w:left="1080" w:hanging="358"/>
        <w:spacing w:after="0" w:line="25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or modification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party subject to the lock-up agreement or the Company regarding the establishment of such plan, such announcement or filing includes a statement to the effect that no transfer of common stock may be made under such plan during the restricted period.</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Morgan Stanley &amp; Co. LLC and TD Securities (USA) LLC, in their sole discretion, may release the common stock and other securities subject to the lock-up agreements described above in whole or in part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to be issued by the Company and offered by this prospectus for sale, at the initial public offering price, to certain of our directors, officers, employees and persons having business relationships with us. Any shares sold in the directed share program to our directors or officers who have entered into lock-up agreements described above will be subject to the provisions of such lock-up agreements.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Relevant State, all in accordance with the Prospectus Regulation, except that offers of shares may be made to the public in that Relevant State at any time under the following exemptions under the Prospectus Regulation:</w:t>
      </w:r>
    </w:p>
    <w:p>
      <w:pPr>
        <w:spacing w:after="0" w:line="67" w:lineRule="exact"/>
        <w:rPr>
          <w:sz w:val="20"/>
          <w:szCs w:val="20"/>
          <w:color w:val="auto"/>
        </w:rPr>
      </w:pPr>
    </w:p>
    <w:p>
      <w:pPr>
        <w:ind w:left="1540" w:hanging="439"/>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FIEL, has been made or will be made with respect to the solicitation of the application for the acquisition of the shares of common stock.</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or QII</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Where shares of our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w:t>
      </w:r>
    </w:p>
    <w:p>
      <w:pPr>
        <w:spacing w:after="0" w:line="3" w:lineRule="exact"/>
        <w:rPr>
          <w:sz w:val="20"/>
          <w:szCs w:val="20"/>
          <w:color w:val="auto"/>
        </w:rPr>
      </w:pPr>
    </w:p>
    <w:p>
      <w:pPr>
        <w:ind w:left="120" w:hanging="4"/>
        <w:spacing w:after="0" w:line="260" w:lineRule="auto"/>
        <w:tabs>
          <w:tab w:leader="none" w:pos="34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this offering to the public in the United Kingdom prior to the publication of a prospectus in relation to the shares that either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hanging="4"/>
        <w:spacing w:after="0" w:line="266" w:lineRule="auto"/>
        <w:tabs>
          <w:tab w:leader="none" w:pos="35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81" w:lineRule="exact"/>
        <w:rPr>
          <w:rFonts w:ascii="Times New Roman" w:cs="Times New Roman" w:eastAsia="Times New Roman" w:hAnsi="Times New Roman"/>
          <w:sz w:val="18"/>
          <w:szCs w:val="18"/>
          <w:color w:val="auto"/>
        </w:rPr>
      </w:pPr>
    </w:p>
    <w:p>
      <w:pPr>
        <w:ind w:left="1080" w:hanging="348"/>
        <w:spacing w:after="0"/>
        <w:tabs>
          <w:tab w:leader="none" w:pos="10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20" w:hanging="358"/>
        <w:spacing w:after="0" w:line="282" w:lineRule="auto"/>
        <w:tabs>
          <w:tab w:leader="none" w:pos="10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348"/>
        <w:spacing w:after="0"/>
        <w:tabs>
          <w:tab w:leader="none" w:pos="10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225"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representative to publish a prospectus pursuant to Section 85 of the FSMA or supplement a prospectus pursuant to Article 23 of the UK Prospectus Regulation.</w:t>
      </w:r>
    </w:p>
    <w:p>
      <w:pPr>
        <w:spacing w:after="0" w:line="16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offerings and the shares to be offered so as to enable an investor to decide to purchase or subscribe for the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Goodwin Procter LLP, Boston, Massachusetts. Certain legal matters related to this offering will be passed upon for the underwriters by Ropes &amp; Gray LLP, Boston, Massachusetts.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Bicara Therapeutics Inc. as of December 31, 2023 and 2022, and for the years then ended, have been included herein and in the registration statement in reliance on the report of KPMG LLP, independent registered public accounting firm, appearing elsewhere herein, and upon the authority of said firm as experts in accounting and auditing.</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(File Number 333-281722)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www.bicara.com. Upon completion of the offering, you may access, free of charge, our annual reports on Form 10-K, quarterly reports on Form 10-Q, current reports on Form 8-K and amendment to those reported filed or furnished pursuant to Section 13(a) or 15(d) of the Exchange Act as soon as reasonably practicable after such material is electronically filed with, or furnished to, the SEC.</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6620" w:type="dxa"/>
            <w:vAlign w:val="bottom"/>
            <w:gridSpan w:val="5"/>
          </w:tcPr>
          <w:p>
            <w:pPr>
              <w:spacing w:after="0"/>
              <w:rPr>
                <w:sz w:val="17"/>
                <w:szCs w:val="17"/>
                <w:color w:val="auto"/>
              </w:rPr>
            </w:pP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F-2</w:t>
            </w:r>
          </w:p>
        </w:tc>
      </w:tr>
      <w:tr>
        <w:trPr>
          <w:trHeight w:val="304"/>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6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Redeemable Convertible Preferred Stock and Stockholders’ Deficit</w:t>
            </w:r>
          </w:p>
        </w:tc>
        <w:tc>
          <w:tcPr>
            <w:tcW w:w="1920" w:type="dxa"/>
            <w:vAlign w:val="bottom"/>
          </w:tcPr>
          <w:p>
            <w:pPr>
              <w:spacing w:after="0"/>
              <w:rPr>
                <w:sz w:val="24"/>
                <w:szCs w:val="24"/>
                <w:color w:val="auto"/>
              </w:rPr>
            </w:pP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F-5</w:t>
            </w:r>
          </w:p>
        </w:tc>
      </w:tr>
      <w:tr>
        <w:trPr>
          <w:trHeight w:val="304"/>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32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Index to Unaudited Condensed Consolidated Financial Statements as of June 30, 2024 and December 31, 2023 and for the Six Months Ended June 30, 2024 and 2023</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1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3"/>
              </w:rPr>
              <w:t>F-27</w:t>
            </w:r>
          </w:p>
        </w:tc>
      </w:tr>
      <w:tr>
        <w:trPr>
          <w:trHeight w:val="20"/>
        </w:trPr>
        <w:tc>
          <w:tcPr>
            <w:tcW w:w="2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3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500" w:type="dxa"/>
            <w:vAlign w:val="bottom"/>
            <w:gridSpan w:val="4"/>
          </w:tcPr>
          <w:p>
            <w:pPr>
              <w:spacing w:after="0"/>
              <w:rPr>
                <w:sz w:val="24"/>
                <w:szCs w:val="24"/>
                <w:color w:val="auto"/>
              </w:rPr>
            </w:pP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3"/>
              </w:rPr>
              <w:t>F-28</w:t>
            </w:r>
          </w:p>
        </w:tc>
      </w:tr>
      <w:tr>
        <w:trPr>
          <w:trHeight w:val="304"/>
        </w:trPr>
        <w:tc>
          <w:tcPr>
            <w:tcW w:w="7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Redeemable Convertible Preferred Stock and Stockholders’ Deficit</w:t>
            </w:r>
          </w:p>
        </w:tc>
        <w:tc>
          <w:tcPr>
            <w:tcW w:w="1440" w:type="dxa"/>
            <w:vAlign w:val="bottom"/>
          </w:tcPr>
          <w:p>
            <w:pPr>
              <w:spacing w:after="0"/>
              <w:rPr>
                <w:sz w:val="24"/>
                <w:szCs w:val="24"/>
                <w:color w:val="auto"/>
              </w:rPr>
            </w:pP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3"/>
              </w:rPr>
              <w:t>F-29</w:t>
            </w:r>
          </w:p>
        </w:tc>
      </w:tr>
      <w:tr>
        <w:trPr>
          <w:trHeight w:val="304"/>
        </w:trPr>
        <w:tc>
          <w:tcPr>
            <w:tcW w:w="91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3"/>
              </w:rPr>
              <w:t>F-30</w:t>
            </w:r>
          </w:p>
        </w:tc>
      </w:tr>
      <w:tr>
        <w:trPr>
          <w:trHeight w:val="20"/>
        </w:trPr>
        <w:tc>
          <w:tcPr>
            <w:tcW w:w="370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1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3"/>
              </w:rPr>
              <w:t>F-31</w:t>
            </w:r>
          </w:p>
        </w:tc>
      </w:tr>
      <w:tr>
        <w:trPr>
          <w:trHeight w:val="385"/>
        </w:trPr>
        <w:tc>
          <w:tcPr>
            <w:tcW w:w="29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F-1</w:t>
            </w:r>
          </w:p>
        </w:tc>
        <w:tc>
          <w:tcPr>
            <w:tcW w:w="18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Bicara Therapeutics Inc.:</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Opinion on the Consolidated Financial Statements</w:t>
      </w:r>
    </w:p>
    <w:p>
      <w:pPr>
        <w:spacing w:after="0" w:line="11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Bicara Therapeutics Inc. and subsidiary (the Company) as of December 31, 2023 and 2022, the related consolidated statements of operations, redeemable convertible preferred stock and stockholders’ deficit, and cash flows for the years then ended,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11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10, 2024, except for the effects of the September 2024 reverse stock split described in Note 2, as to which the date is September 6, 2024.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9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83"/>
        </w:trPr>
        <w:tc>
          <w:tcPr>
            <w:tcW w:w="91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Assets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230,440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shd w:val="clear" w:color="auto" w:fill="CCEEFF"/>
          </w:tcPr>
          <w:p>
            <w:pPr>
              <w:spacing w:after="0"/>
              <w:rPr>
                <w:sz w:val="17"/>
                <w:szCs w:val="17"/>
                <w:color w:val="auto"/>
              </w:rPr>
            </w:pPr>
          </w:p>
        </w:tc>
      </w:tr>
      <w:tr>
        <w:trPr>
          <w:trHeight w:val="209"/>
        </w:trPr>
        <w:tc>
          <w:tcPr>
            <w:tcW w:w="9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r>
      <w:tr>
        <w:trPr>
          <w:trHeight w:val="203"/>
        </w:trPr>
        <w:tc>
          <w:tcPr>
            <w:tcW w:w="9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231,073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100" w:type="dxa"/>
            <w:vAlign w:val="bottom"/>
            <w:shd w:val="clear" w:color="auto" w:fill="CCEEFF"/>
          </w:tcPr>
          <w:p>
            <w:pPr>
              <w:spacing w:after="0"/>
              <w:rPr>
                <w:sz w:val="17"/>
                <w:szCs w:val="17"/>
                <w:color w:val="auto"/>
              </w:rPr>
            </w:pPr>
          </w:p>
        </w:tc>
      </w:tr>
      <w:tr>
        <w:trPr>
          <w:trHeight w:val="308"/>
        </w:trPr>
        <w:tc>
          <w:tcPr>
            <w:tcW w:w="9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24"/>
                <w:szCs w:val="24"/>
                <w:color w:val="auto"/>
              </w:rPr>
            </w:pPr>
          </w:p>
        </w:tc>
      </w:tr>
      <w:tr>
        <w:trPr>
          <w:trHeight w:val="205"/>
        </w:trPr>
        <w:tc>
          <w:tcPr>
            <w:tcW w:w="9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 of use asset—operating lease</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r>
      <w:tr>
        <w:trPr>
          <w:trHeight w:val="203"/>
        </w:trPr>
        <w:tc>
          <w:tcPr>
            <w:tcW w:w="9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233,982</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100" w:type="dxa"/>
            <w:vAlign w:val="bottom"/>
            <w:shd w:val="clear" w:color="auto" w:fill="CCEEFF"/>
          </w:tcPr>
          <w:p>
            <w:pPr>
              <w:spacing w:after="0"/>
              <w:rPr>
                <w:sz w:val="17"/>
                <w:szCs w:val="17"/>
                <w:color w:val="auto"/>
              </w:rPr>
            </w:pPr>
          </w:p>
        </w:tc>
      </w:tr>
      <w:tr>
        <w:trPr>
          <w:trHeight w:val="207"/>
        </w:trPr>
        <w:tc>
          <w:tcPr>
            <w:tcW w:w="9180" w:type="dxa"/>
            <w:vAlign w:val="bottom"/>
          </w:tcPr>
          <w:p>
            <w:pPr>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9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7"/>
                <w:szCs w:val="17"/>
                <w:color w:val="auto"/>
              </w:rPr>
            </w:pPr>
          </w:p>
        </w:tc>
      </w:tr>
      <w:tr>
        <w:trPr>
          <w:trHeight w:val="203"/>
        </w:trPr>
        <w:tc>
          <w:tcPr>
            <w:tcW w:w="9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payable—related party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shd w:val="clear" w:color="auto" w:fill="CCEEFF"/>
          </w:tcPr>
          <w:p>
            <w:pPr>
              <w:spacing w:after="0"/>
              <w:rPr>
                <w:sz w:val="17"/>
                <w:szCs w:val="17"/>
                <w:color w:val="auto"/>
              </w:rPr>
            </w:pPr>
          </w:p>
        </w:tc>
      </w:tr>
      <w:tr>
        <w:trPr>
          <w:trHeight w:val="203"/>
        </w:trPr>
        <w:tc>
          <w:tcPr>
            <w:tcW w:w="9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6,110</w:t>
            </w:r>
          </w:p>
        </w:tc>
      </w:tr>
      <w:tr>
        <w:trPr>
          <w:trHeight w:val="203"/>
        </w:trPr>
        <w:tc>
          <w:tcPr>
            <w:tcW w:w="9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expenses and other current liabilities—related party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12,649</w:t>
            </w:r>
          </w:p>
        </w:tc>
        <w:tc>
          <w:tcPr>
            <w:tcW w:w="100" w:type="dxa"/>
            <w:vAlign w:val="bottom"/>
            <w:shd w:val="clear" w:color="auto" w:fill="CCEEFF"/>
          </w:tcPr>
          <w:p>
            <w:pPr>
              <w:spacing w:after="0"/>
              <w:rPr>
                <w:sz w:val="17"/>
                <w:szCs w:val="17"/>
                <w:color w:val="auto"/>
              </w:rPr>
            </w:pPr>
          </w:p>
        </w:tc>
      </w:tr>
      <w:tr>
        <w:trPr>
          <w:trHeight w:val="210"/>
        </w:trPr>
        <w:tc>
          <w:tcPr>
            <w:tcW w:w="9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Operating lease liability—current portion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9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23,896</w:t>
            </w:r>
          </w:p>
        </w:tc>
        <w:tc>
          <w:tcPr>
            <w:tcW w:w="100" w:type="dxa"/>
            <w:vAlign w:val="bottom"/>
            <w:shd w:val="clear" w:color="auto" w:fill="CCEEFF"/>
          </w:tcPr>
          <w:p>
            <w:pPr>
              <w:spacing w:after="0"/>
              <w:rPr>
                <w:sz w:val="17"/>
                <w:szCs w:val="17"/>
                <w:color w:val="auto"/>
              </w:rPr>
            </w:pPr>
          </w:p>
        </w:tc>
      </w:tr>
      <w:tr>
        <w:trPr>
          <w:trHeight w:val="308"/>
        </w:trPr>
        <w:tc>
          <w:tcPr>
            <w:tcW w:w="9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liability—net of current portion</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9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7"/>
                <w:szCs w:val="17"/>
                <w:color w:val="auto"/>
              </w:rPr>
            </w:pPr>
          </w:p>
        </w:tc>
      </w:tr>
      <w:tr>
        <w:trPr>
          <w:trHeight w:val="204"/>
        </w:trPr>
        <w:tc>
          <w:tcPr>
            <w:tcW w:w="9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23,981</w:t>
            </w:r>
          </w:p>
        </w:tc>
        <w:tc>
          <w:tcPr>
            <w:tcW w:w="100" w:type="dxa"/>
            <w:vAlign w:val="bottom"/>
          </w:tcPr>
          <w:p>
            <w:pPr>
              <w:spacing w:after="0"/>
              <w:rPr>
                <w:sz w:val="17"/>
                <w:szCs w:val="17"/>
                <w:color w:val="auto"/>
              </w:rPr>
            </w:pPr>
          </w:p>
        </w:tc>
      </w:tr>
      <w:tr>
        <w:trPr>
          <w:trHeight w:val="114"/>
        </w:trPr>
        <w:tc>
          <w:tcPr>
            <w:tcW w:w="9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97"/>
        </w:trPr>
        <w:tc>
          <w:tcPr>
            <w:tcW w:w="9180" w:type="dxa"/>
            <w:vAlign w:val="bottom"/>
          </w:tcPr>
          <w:p>
            <w:pPr>
              <w:spacing w:after="0"/>
              <w:rPr>
                <w:sz w:val="20"/>
                <w:szCs w:val="20"/>
                <w:color w:val="auto"/>
              </w:rPr>
            </w:pPr>
            <w:r>
              <w:rPr>
                <w:rFonts w:ascii="Times New Roman" w:cs="Times New Roman" w:eastAsia="Times New Roman" w:hAnsi="Times New Roman"/>
                <w:sz w:val="16"/>
                <w:szCs w:val="16"/>
                <w:color w:val="auto"/>
              </w:rPr>
              <w:t>Series Seed redeemable convertible preferred stock, $0.0001 par value, 81,790,144 and 90,940,144 shares authorized as of</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2023 and 2022, respectively; 81,790,144 shares issued and outstanding as of December 31, 2023, and 2022,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9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 (liquidation preference of $81,790 as of December 31, 2023, and 2022, respectively)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81,525</w:t>
            </w:r>
          </w:p>
        </w:tc>
        <w:tc>
          <w:tcPr>
            <w:tcW w:w="100" w:type="dxa"/>
            <w:vAlign w:val="bottom"/>
          </w:tcPr>
          <w:p>
            <w:pPr>
              <w:spacing w:after="0"/>
              <w:rPr>
                <w:sz w:val="18"/>
                <w:szCs w:val="18"/>
                <w:color w:val="auto"/>
              </w:rPr>
            </w:pPr>
          </w:p>
        </w:tc>
      </w:tr>
      <w:tr>
        <w:trPr>
          <w:trHeight w:val="114"/>
        </w:trPr>
        <w:tc>
          <w:tcPr>
            <w:tcW w:w="9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89"/>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redeemable convertible preferred stock, $0.0001 par value, 105,595,101 shares authorized; issued and outstanding as of</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2023; no shares authorized, issued and outstanding as of December 31, 2022 (liquidation preference of $108,235 and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none as of December 31, 2023, and 2022,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9180" w:type="dxa"/>
            <w:vAlign w:val="bottom"/>
          </w:tcPr>
          <w:p>
            <w:pPr>
              <w:spacing w:after="0"/>
              <w:rPr>
                <w:sz w:val="20"/>
                <w:szCs w:val="20"/>
                <w:color w:val="auto"/>
              </w:rPr>
            </w:pPr>
            <w:r>
              <w:rPr>
                <w:rFonts w:ascii="Times New Roman" w:cs="Times New Roman" w:eastAsia="Times New Roman" w:hAnsi="Times New Roman"/>
                <w:sz w:val="16"/>
                <w:szCs w:val="16"/>
                <w:color w:val="auto"/>
              </w:rPr>
              <w:t>Series C redeemable convertible preferred stock, $0.0001 par value, 119,599,872 shares authorized; issued and outstanding as of</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2023; no shares authorized, issued and outstanding as of December 31, 2022 (liquidation preference of $165,000 and</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9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none as of December 31, 2023, and 2022, respectively)</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164,604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redeemable convertible preferred stock</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367,277</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81,525</w:t>
            </w:r>
          </w:p>
        </w:tc>
        <w:tc>
          <w:tcPr>
            <w:tcW w:w="100" w:type="dxa"/>
            <w:vAlign w:val="bottom"/>
            <w:shd w:val="clear" w:color="auto" w:fill="CCEEFF"/>
          </w:tcPr>
          <w:p>
            <w:pPr>
              <w:spacing w:after="0"/>
              <w:rPr>
                <w:sz w:val="17"/>
                <w:szCs w:val="17"/>
                <w:color w:val="auto"/>
              </w:rPr>
            </w:pPr>
          </w:p>
        </w:tc>
      </w:tr>
      <w:tr>
        <w:trPr>
          <w:trHeight w:val="308"/>
        </w:trPr>
        <w:tc>
          <w:tcPr>
            <w:tcW w:w="91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9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Common stock, $0.0001 par value, 365,000,000 and 106,000,000 shares authorized; 711,895 and 699,415 shares issued and</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9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640,836 and 504,544 shares outstanding as of December 31, 2023, and 2022,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r>
      <w:tr>
        <w:trPr>
          <w:trHeight w:val="203"/>
        </w:trPr>
        <w:tc>
          <w:tcPr>
            <w:tcW w:w="9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tcPr>
          <w:p>
            <w:pPr>
              <w:spacing w:after="0"/>
              <w:rPr>
                <w:sz w:val="17"/>
                <w:szCs w:val="17"/>
                <w:color w:val="auto"/>
              </w:rPr>
            </w:pPr>
          </w:p>
        </w:tc>
      </w:tr>
      <w:tr>
        <w:trPr>
          <w:trHeight w:val="203"/>
        </w:trPr>
        <w:tc>
          <w:tcPr>
            <w:tcW w:w="9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8"/>
              </w:rPr>
              <w:t>(153,021)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(101,036)</w:t>
            </w:r>
          </w:p>
        </w:tc>
      </w:tr>
      <w:tr>
        <w:trPr>
          <w:trHeight w:val="204"/>
        </w:trPr>
        <w:tc>
          <w:tcPr>
            <w:tcW w:w="9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(148,769)</w:t>
            </w: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(98,803)</w:t>
            </w:r>
          </w:p>
        </w:tc>
        <w:tc>
          <w:tcPr>
            <w:tcW w:w="100" w:type="dxa"/>
            <w:vAlign w:val="bottom"/>
          </w:tcPr>
          <w:p>
            <w:pPr>
              <w:spacing w:after="0"/>
              <w:rPr>
                <w:sz w:val="17"/>
                <w:szCs w:val="17"/>
                <w:color w:val="auto"/>
              </w:rPr>
            </w:pPr>
          </w:p>
        </w:tc>
      </w:tr>
      <w:tr>
        <w:trPr>
          <w:trHeight w:val="114"/>
        </w:trPr>
        <w:tc>
          <w:tcPr>
            <w:tcW w:w="9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9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233,982</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100" w:type="dxa"/>
            <w:vAlign w:val="bottom"/>
            <w:shd w:val="clear" w:color="auto" w:fill="CCEEFF"/>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data)</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12,936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21,373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18,376</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6,344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37,656</w:t>
            </w:r>
          </w:p>
        </w:tc>
        <w:tc>
          <w:tcPr>
            <w:tcW w:w="0" w:type="dxa"/>
            <w:vAlign w:val="bottom"/>
          </w:tcPr>
          <w:p>
            <w:pPr>
              <w:spacing w:after="0"/>
              <w:rPr>
                <w:sz w:val="1"/>
                <w:szCs w:val="1"/>
                <w:color w:val="auto"/>
              </w:rPr>
            </w:pPr>
          </w:p>
        </w:tc>
      </w:tr>
      <w:tr>
        <w:trPr>
          <w:trHeight w:val="228"/>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(39,889)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(37,656)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expense—related party</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(12,091)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(51,985)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common shares outstanding,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9"/>
              </w:rPr>
              <w:t>580,109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429,084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4"/>
              </w:rPr>
              <w:t>Series Seed</w:t>
            </w:r>
          </w:p>
        </w:tc>
        <w:tc>
          <w:tcPr>
            <w:tcW w:w="980" w:type="dxa"/>
            <w:vAlign w:val="bottom"/>
            <w:gridSpan w:val="3"/>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w w:val="97"/>
              </w:rPr>
              <w:t>Series C</w:t>
            </w: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44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1600" w:type="dxa"/>
            <w:vAlign w:val="bottom"/>
            <w:gridSpan w:val="5"/>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680" w:type="dxa"/>
            <w:vAlign w:val="bottom"/>
            <w:tcBorders>
              <w:right w:val="single" w:sz="8" w:color="auto"/>
            </w:tcBorders>
            <w:gridSpan w:val="5"/>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11"/>
                <w:szCs w:val="11"/>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160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1680" w:type="dxa"/>
            <w:vAlign w:val="bottom"/>
            <w:tcBorders>
              <w:right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1440" w:type="dxa"/>
            <w:vAlign w:val="bottom"/>
            <w:gridSpan w:val="4"/>
          </w:tcPr>
          <w:p>
            <w:pPr>
              <w:jc w:val="center"/>
              <w:ind w:right="140"/>
              <w:spacing w:after="0" w:line="103"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600" w:type="dxa"/>
            <w:vAlign w:val="bottom"/>
            <w:gridSpan w:val="5"/>
          </w:tcPr>
          <w:p>
            <w:pPr>
              <w:jc w:val="center"/>
              <w:ind w:right="160"/>
              <w:spacing w:after="0" w:line="103" w:lineRule="exact"/>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680" w:type="dxa"/>
            <w:vAlign w:val="bottom"/>
            <w:tcBorders>
              <w:right w:val="single" w:sz="8" w:color="auto"/>
            </w:tcBorders>
            <w:gridSpan w:val="5"/>
          </w:tcPr>
          <w:p>
            <w:pPr>
              <w:jc w:val="center"/>
              <w:ind w:right="260"/>
              <w:spacing w:after="0" w:line="103"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0" w:type="dxa"/>
            <w:vAlign w:val="bottom"/>
          </w:tcPr>
          <w:p>
            <w:pPr>
              <w:spacing w:after="0"/>
              <w:rPr>
                <w:sz w:val="10"/>
                <w:szCs w:val="10"/>
                <w:color w:val="auto"/>
              </w:rPr>
            </w:pPr>
          </w:p>
        </w:tc>
        <w:tc>
          <w:tcPr>
            <w:tcW w:w="920" w:type="dxa"/>
            <w:vAlign w:val="bottom"/>
            <w:gridSpan w:val="3"/>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Common Equity</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ind w:right="200"/>
              <w:spacing w:after="0" w:line="103" w:lineRule="exact"/>
              <w:rPr>
                <w:sz w:val="20"/>
                <w:szCs w:val="20"/>
                <w:color w:val="auto"/>
              </w:rPr>
            </w:pPr>
            <w:r>
              <w:rPr>
                <w:rFonts w:ascii="Times New Roman" w:cs="Times New Roman" w:eastAsia="Times New Roman" w:hAnsi="Times New Roman"/>
                <w:sz w:val="11"/>
                <w:szCs w:val="11"/>
                <w:b w:val="1"/>
                <w:bCs w:val="1"/>
                <w:color w:val="auto"/>
              </w:rPr>
              <w:t>Paid</w:t>
            </w:r>
          </w:p>
        </w:tc>
        <w:tc>
          <w:tcPr>
            <w:tcW w:w="80" w:type="dxa"/>
            <w:vAlign w:val="bottom"/>
          </w:tcPr>
          <w:p>
            <w:pPr>
              <w:spacing w:after="0"/>
              <w:rPr>
                <w:sz w:val="10"/>
                <w:szCs w:val="10"/>
                <w:color w:val="auto"/>
              </w:rPr>
            </w:pPr>
          </w:p>
        </w:tc>
        <w:tc>
          <w:tcPr>
            <w:tcW w:w="860" w:type="dxa"/>
            <w:vAlign w:val="bottom"/>
            <w:gridSpan w:val="3"/>
          </w:tcPr>
          <w:p>
            <w:pPr>
              <w:jc w:val="right"/>
              <w:ind w:right="220"/>
              <w:spacing w:after="0" w:line="103"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0" w:type="dxa"/>
            <w:vAlign w:val="bottom"/>
            <w:gridSpan w:val="3"/>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6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6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tcPr>
          <w:p>
            <w:pPr>
              <w:spacing w:after="0"/>
              <w:rPr>
                <w:sz w:val="11"/>
                <w:szCs w:val="11"/>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40,000,000</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6"/>
              </w:rPr>
              <w:t>$ 40,000</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336,452</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1,182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(63,191)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(62,008)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62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Issuance of Series Seed redeemable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convertible preferred stock, net of</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offering cost and expenses for cash</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and settlement of SAFEs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31,800,000</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31,535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62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Settlement of demand notes in exchange</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for Series Seed redeemable convertible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preferred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9,990,144</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9,990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62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Issuance of common stock upon exercise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58,285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109,807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6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(37,845)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(37,845)</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2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81,790,144</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$ 81,525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504,544</w:t>
            </w:r>
          </w:p>
        </w:tc>
        <w:tc>
          <w:tcPr>
            <w:tcW w:w="420" w:type="dxa"/>
            <w:vAlign w:val="bottom"/>
            <w:gridSpan w:val="2"/>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2,231</w:t>
            </w:r>
          </w:p>
        </w:tc>
        <w:tc>
          <w:tcPr>
            <w:tcW w:w="20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(101,036)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(98,803)</w:t>
            </w:r>
          </w:p>
        </w:tc>
        <w:tc>
          <w:tcPr>
            <w:tcW w:w="0" w:type="dxa"/>
            <w:vAlign w:val="bottom"/>
          </w:tcPr>
          <w:p>
            <w:pPr>
              <w:spacing w:after="0"/>
              <w:rPr>
                <w:sz w:val="1"/>
                <w:szCs w:val="1"/>
                <w:color w:val="auto"/>
              </w:rPr>
            </w:pPr>
          </w:p>
        </w:tc>
      </w:tr>
      <w:tr>
        <w:trPr>
          <w:trHeight w:val="136"/>
        </w:trPr>
        <w:tc>
          <w:tcPr>
            <w:tcW w:w="262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Issuance of Series B redeemable</w:t>
            </w: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convertible preferred stock, net of</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offering cost, expenses, and discount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105,595,101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107,101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62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Issuance of Series C redeemable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convertible preferred stock, net of</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offering cost and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119,599,872</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164,604</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62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Settlement of Series B preferred stock</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tranche rights liability, upon issuance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of milestone shares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14,047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62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Issuance of common stock upon exercise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106,693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(51,985)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(51,985)</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81,790,144</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$ 81,525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105,595,101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121,148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119,599,872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164,604</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640,386</w:t>
            </w:r>
          </w:p>
        </w:tc>
        <w:tc>
          <w:tcPr>
            <w:tcW w:w="420" w:type="dxa"/>
            <w:vAlign w:val="bottom"/>
            <w:gridSpan w:val="2"/>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4,250</w:t>
            </w:r>
          </w:p>
        </w:tc>
        <w:tc>
          <w:tcPr>
            <w:tcW w:w="20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(153,021)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(148,769)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9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(51,985)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(37,845)</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loss on equipment impairment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5,082</w:t>
            </w: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expenses—related party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(45,628)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(32,076)</w:t>
            </w:r>
          </w:p>
        </w:tc>
        <w:tc>
          <w:tcPr>
            <w:tcW w:w="120" w:type="dxa"/>
            <w:vAlign w:val="bottom"/>
          </w:tcPr>
          <w:p>
            <w:pPr>
              <w:spacing w:after="0"/>
              <w:rPr>
                <w:sz w:val="20"/>
                <w:szCs w:val="20"/>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preferred stock, preferred stock tranche rights and SAFEs,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272,347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31,535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272,496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31,695</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226,282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4,731</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230,440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of Series B preferred stock tranche rights liability, upon issuance of milestone shares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 obtain in exchange for lease liability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additions in accrued expenses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r>
      <w:tr>
        <w:trPr>
          <w:trHeight w:val="198"/>
        </w:trPr>
        <w:tc>
          <w:tcPr>
            <w:tcW w:w="8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Settlement of notes payable and accrued interest with related party for Series Seed redeemable convertible preferred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9,990</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Bicara Therapeutics Inc. (“Bicara” or the “Company”) was incorporated in the state of Delaware in December 2018 and is a clinical-stage biopharmaceutical company based in Boston, Massachusetts. The Company is committed to bringing transformative bifunctional therapies to patients with solid tumors. Its lead program ficerafusp alfa is a bifunctional antibody that combines a clinically validated epidermal growth factor receptor directed monoclonal antibody with a domain that binds to human transforming growth factor beta.</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inception, the Company has operated in the preclinical and clinical stages and has devoted substantially all of its time and efforts to performing research and development activities, raising capital, and recruiting management and technical staff to support these operations. The Company is subject to risks and uncertainties common to early-stage companies in the biotechnology industry including, but not limited to, risks associated with the successful research, development and manufacturing of product candidates, competition from other companies, dependence on key personnel, protection of intellectual property,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our product development efforts are successful, it is uncertain when, if ever, the Company will realize significant revenue from product sales.</w:t>
      </w:r>
    </w:p>
    <w:p>
      <w:pPr>
        <w:spacing w:after="0" w:line="19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historically has funded its operations from the issuance of redeemable convertible preferred stock, common stock and through debt financing.</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2022, the Company sold 31,800,000 shares of its Series Seed preferred stock with par value of $0.0001 per share (the “Series Seed Preferred Stock”) and purchase price of $1.00 per share for net proceeds of $31.5 million after deducting expenses paid by the Company, including the settlement of $5.4 million of simple agreements for future equity (“SAFEs”). Additionally, as part of the Series Seed extension financing, the Company issued 9,990,144 shares of Series Seed Preferred Stock to settle the outstanding principal balance and accrued interest of an unsecured loan with Biocon as of April 26, 2022, totaling $10.0 million.</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2023, the Company issued 105,595,101 shares of Series B preferred stock with par value $0.0001 per share (the “Series B Preferred Stock”) and purchase price of $1.025 per share for net proceeds of $107.7 million after deducting expenses paid by the Company. The Company additionally issued 119,599,872 shares of Series C preferred stock with par value of $0.0001 per share (the “Series C Preferred Stock”) and purchase price of $1.3796 per share for net proceeds of $164.6 million after deducting expenses paid by the Company.</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such losses and negative operating cash flows to continue for the foreseeable future. As of December 31, 2023, the Company had cash of $230.4 million and an accumulated deficit of $153.0 million.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2022, the Company previously identified conditions and events that raised substantial doubt about its ability to continue as a going concern. During 2023, the Company raised net proceeds of $272.3 million from the issuance of redeemable convertible preferred stock. The Company expects that its cash and cash equivalents as of December 31, 2023 of $230.4 million will be sufficient to fund the operating expenditures and capital expenditure requirements necessary to advance its research efforts and clinical trials for at least one year from the date of issuance of these consolidated financial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9"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conformity with accounting principles generally accepted in the U.S. (“U.S. GAAP”). Any reference in these notes to applicable guidance is meant to refer to the authoritative GAAP as found in the Accounting Standards Codification (“ASC”) and Accounting Standards Updates (“ASU”) of the Financial Accounting Standards Board (“FASB”). The accompanying consolidated financial statements have been prepared on a going concern basis, which contemplates the realization of assets and the satisfaction of liabilities and commitments in the ordinary course of business.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financial position, results of operations and cash flows of Bicara. The Company’s consolidated financial statements are denominated in U.S. dollars. The consolidated financial statements include the accounts of the Company and its wholly owned, controlled subsidiary. All intercompany transactions and balances have been eliminated in consolidation.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January 2022, the Company effected a 1-for-2.3364 reverse stock split of its common stock. On the effective date of the reverse stock split,</w:t>
      </w:r>
    </w:p>
    <w:p>
      <w:pPr>
        <w:spacing w:after="0" w:line="27" w:lineRule="exact"/>
        <w:rPr>
          <w:sz w:val="20"/>
          <w:szCs w:val="20"/>
          <w:color w:val="auto"/>
        </w:rPr>
      </w:pPr>
    </w:p>
    <w:p>
      <w:pPr>
        <w:jc w:val="both"/>
        <w:ind w:left="120" w:right="20" w:hanging="4"/>
        <w:spacing w:after="0" w:line="253" w:lineRule="auto"/>
        <w:tabs>
          <w:tab w:leader="none" w:pos="33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2.3364 shares of outstanding common stock were reduced to one share of common stock; (ii) the number of shares of common stock into which each outstanding option to purchase common stock is exercisable were proportionately reduced on a 2.3364-to-1 basis; and (iii) the exercise price of each outstanding option to purchase common stock were proportionately increased on a 1-to-2.3364 basis. All the share numbers, share prices, and exercise prices have been adjusted, on a retroactive basis, to reflect this 1-for-2.3364 reverse stock split.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September 2024, the Company effected a 1-for-9.2435 reverse stock split of its common stock. On the effective date of the reverse stock split,</w:t>
      </w:r>
    </w:p>
    <w:p>
      <w:pPr>
        <w:spacing w:after="0" w:line="27" w:lineRule="exact"/>
        <w:rPr>
          <w:sz w:val="20"/>
          <w:szCs w:val="20"/>
          <w:color w:val="auto"/>
        </w:rPr>
      </w:pPr>
    </w:p>
    <w:p>
      <w:pPr>
        <w:jc w:val="both"/>
        <w:ind w:left="120" w:right="20" w:hanging="4"/>
        <w:spacing w:after="0" w:line="252" w:lineRule="auto"/>
        <w:tabs>
          <w:tab w:leader="none" w:pos="33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9.2435 shares of outstanding common stock were reduced to one share of common stock; (ii) the number of shares of common stock into which each outstanding option to purchase common stock is exercisable were proportionately reduced on a 9.2435-to-1 basis; and (iii) the exercise price of each outstanding option to purchase common stock were proportionately increased on a 1-to-9.2435 basis. All the share numbers, share prices, and exercise prices have been adjusted, on a retroactive basis, to reflect this 1-for-9.2435 reverse stock split. Additionally, the authorized, issued and outstanding shares of redeemable convertible preferred stock and their related per share amount, other than the conversion price per share, was not adjusted as a result of the reverse stock split.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revenue, expenses and the related disclosure of contingent assets and liabilities as of and during the reporting period. The Company bases its estimates on historical experience when available and on other assumptions that management believes are reasonable under the circumstances. Significant estimates and assumptions reflected in these consolidated financial statements include but are not limited to: the estimated costs of research and development activities, the fair value of tranche right liabilities, and the fair values of common stock and stock awards and associated stock- based compensation expense. The Company assesses estimates on an ongoing basis; however, actual results could materially differ from those estimates.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recorded shares of redeemable convertible preferred stock at their respective fair values on the dates of issuance, net of issuance costs. The Company applied the guidance in </w:t>
      </w:r>
      <w:r>
        <w:rPr>
          <w:rFonts w:ascii="Times New Roman" w:cs="Times New Roman" w:eastAsia="Times New Roman" w:hAnsi="Times New Roman"/>
          <w:sz w:val="18"/>
          <w:szCs w:val="18"/>
          <w:i w:val="1"/>
          <w:iCs w:val="1"/>
          <w:color w:val="auto"/>
        </w:rPr>
        <w:t>ASC 480-10-S99-3A, SEC Staff Announcement: Classification and Measurement of Redeemable Securities</w:t>
      </w:r>
      <w:r>
        <w:rPr>
          <w:rFonts w:ascii="Times New Roman" w:cs="Times New Roman" w:eastAsia="Times New Roman" w:hAnsi="Times New Roman"/>
          <w:sz w:val="18"/>
          <w:szCs w:val="18"/>
          <w:color w:val="auto"/>
        </w:rPr>
        <w:t>, and therefore classified the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Seed, Series B and Series C convertible preferred stock as mezzanine equity. The convertible preferred stock was recorded outside of stockholders’ deficit because, in the event of certain deemed liquidation events considered not solely within the Company’s control, such as a merger or consolidation and sale, lease or transfer of all or substantially all of the Company’s assets, the convertible preferred stock would have become redeemable at the option of the holders. In the event of a change of control of the Company, proceeds received from the sale of such shares would have been distributed in accordance with the corresponding liquidation preferences. The Company did not adjust the carrying values of the convertible preferred stock to the deemed liquidation values of such shares since a liquidation event was not probable at any of the reporting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Tranche Rights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consolidated financial statements. We present such liabilities on the balance sheets at their estimated fair values. Changes in fair value of the liability are calculated each reporting period, and any change in value are recognized in the consolidated statements of operations.</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Series B Preferred Stock issuance as described in Note 10 Redeemable Convertible Preferred Stock to these consolidated financial statements, included tranche rights (“Series B Tranche Rights”) to purchasers who participated in the initial Series B Preferred Stock issuance. The Series B Tranche Rights were determined to be a “freestanding financial instrument” as defined in the ASC Master Glossary as they are legally detachable and separately exercisable. Management assessed the freestanding financial instrument under ASC  480, Distinguishing Liabilities from Equity, and determined that such rights should be accounted for as a liability at fair value given they impose an obligation on the Company to issue shares that are contingently redeemable. The Series B Tranche Rights were revalued at each reporting period until settlement, with changes in the fair value recorded in the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framework is used for measuring fair value utilizing a three-tier hierarchy that prioritizes the inputs to valuation techniques used to measure fair value.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3" w:lineRule="exact"/>
        <w:rPr>
          <w:sz w:val="20"/>
          <w:szCs w:val="20"/>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1—defined as observable inputs, such as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2—defined as inputs other than quoted prices included in Level 1 that are either directly or indirectly observable;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3—defined as significant unobservable inputs in which little or no market data exists, therefore, requiring an entity to develop its own assumptions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assets (which include cash) and liabilities (which include accounts payable) approximate fair value because of the short maturity of these instruments and have been classified as Level 1. The Series B Tranche Rights are classified as Level 3 financial liabilities (Refer to Note 3 Fair value measurement to these consolidated financial statements for more details).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held in standard checking accounts and money market funds at two financial institutions. The Company considers all highly liquid investments with a maturity date of 90 days or less at the date of purchase to be cash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At times, the Company’s cash deposits may be in excess of insured limits. Company has not experienced any losses on its deposits of cash and does not have off-balance sheet concentrations of credit risk.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states property and equipment at cost, net of accumulated depreciation. The Company capitalizes major improvements and expenses maintenance and repairs as incurred. The Company recognizes depreciation on a straight-line basis over the estimated useful lives of the related assets, which are as follows:</w:t>
      </w:r>
    </w:p>
    <w:p>
      <w:pPr>
        <w:spacing w:after="0" w:line="196"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b w:val="1"/>
          <w:bCs w:val="1"/>
          <w:u w:val="single" w:color="auto"/>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10200" w:val="left"/>
        </w:tabs>
        <w:rPr>
          <w:sz w:val="20"/>
          <w:szCs w:val="20"/>
          <w:color w:val="auto"/>
        </w:rPr>
      </w:pPr>
      <w:r>
        <w:rPr>
          <w:rFonts w:ascii="Times New Roman" w:cs="Times New Roman" w:eastAsia="Times New Roman" w:hAnsi="Times New Roman"/>
          <w:sz w:val="18"/>
          <w:szCs w:val="18"/>
          <w:color w:val="auto"/>
        </w:rPr>
        <w:t>Computers and equipment</w:t>
      </w:r>
      <w:r>
        <w:rPr>
          <w:sz w:val="20"/>
          <w:szCs w:val="20"/>
          <w:color w:val="auto"/>
        </w:rPr>
        <w:tab/>
      </w:r>
      <w:r>
        <w:rPr>
          <w:rFonts w:ascii="Times New Roman" w:cs="Times New Roman" w:eastAsia="Times New Roman" w:hAnsi="Times New Roman"/>
          <w:sz w:val="17"/>
          <w:szCs w:val="17"/>
          <w:color w:val="auto"/>
        </w:rPr>
        <w:t>3 years</w:t>
      </w:r>
    </w:p>
    <w:p>
      <w:pPr>
        <w:spacing w:after="0" w:line="20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retirement or sale of property and equipment, as applicable, the cost and related accumulated depreciation are removed from the balance sheets and the resulting gain or loss is reflected in operations. The Company recorded a $0.6 million loss and $0 loss for the years ended December 31, 2023 and 2022, respectively, for property that was abandoned and written off. The Company evaluates long-lived asset impairments every year under ASC 360, noting no impairments for the years ended December 31, 2023 and 2022, respectively, except as described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ASC 842, Leases, requires lessees to recognize right-of-use assets and lease liabilities on the balance sheet for all leases with a term of greater than 12 months regardless of classification. Operating lease right-of-use assets and liabilities are recognized at the commencement date based on the present value of lease payments over the lease term discounted using an appropriate incremental borrowing rate. The incremental borrowing rate is based on the estimated interest rate for borrowing over a term similar to that of the lease payments at commencement of the lease. The operating lease expense for the operating leases is recognized on a straight-line basis over the lease term. The Company has elected the practical expedient to not separate lease and non-lease components of contracts.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adopted this new standard on January 1, 2022 using the required modified retrospective approach and utilizing the effective date as its date of initial application. The adoption of this standard did not have an impact on the Company’s financial statements.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adoption, the Company elected, to apply the ‘package of practical expedients’ which permits the Company (i) not to reassess whether expired existing contracts are or contain leases, (ii) not to reassess the classification of expired or existing leases, if any, and (iii) not to reassess initial direct costs for any existing leases.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19"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Research and development costs are expensed as incurred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(“ASC 730”). Research and development expenses include costs directly attributable to the conduct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of research and development programs, including compensation costs, which includes salaries and benefits, stock-based compensation expense and the cost of services provided by outside contractors.</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capitalizes advance payments for goods or services that will be used or rendered for future research and development activities and recognizes expense as the related goods are delivered or services are performed. The Company also records expenses and accruals for estimated costs of research and development activities, including third party contract services for clinical research and contract manufacturing. The Company bases its estimates on the best information available at the time. Costs for certain research and development activities are recognized based on the pattern of performance of the individual arrangements, which may differ from the pattern of billings incurred, and are reflected in the consolidated financial statements as prepaid expenses or as accrued research and development expenses.</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financial terms of these agreements are subject to negotiation, vary from contract to contract, and may result in uneven payment flows to the Company’s vendors. Billing terms and payments are reviewed by management to ensure estimates of outstanding obligations are appropriate as of period end. Tracking the progress of completion for clinical trial and contract manufacturing activities performed by third parties allows the Company to record the appropriate expense and accruals under the terms of the agreements. During the years ended December 31, 2023 and 2022, the Company incurred $30.6 million and $31.3 million, respectively, relating to research and development expenses. The Company recorded accrued liabilities of $9.6 million and $17.2 million for clinical trial and contract manufacturing expenses as of December 31, 2023 and 2022,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share-based compensation expense, related to the Company’s executive, finance and other support functions. Other general and administrative expenses include professional fees for legal, auditing, tax, consulting services, investor relations, IT and office expenses, rent and insurance.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Company accounts for stock-based employee and nonemployee compensation awards in accordance with provisions of ASC 718, </w:t>
      </w:r>
      <w:r>
        <w:rPr>
          <w:rFonts w:ascii="Times New Roman" w:cs="Times New Roman" w:eastAsia="Times New Roman" w:hAnsi="Times New Roman"/>
          <w:sz w:val="17"/>
          <w:szCs w:val="17"/>
          <w:i w:val="1"/>
          <w:iCs w:val="1"/>
          <w:color w:val="auto"/>
        </w:rPr>
        <w:t xml:space="preserve">Compensation—Stock Compensation </w:t>
      </w:r>
      <w:r>
        <w:rPr>
          <w:rFonts w:ascii="Times New Roman" w:cs="Times New Roman" w:eastAsia="Times New Roman" w:hAnsi="Times New Roman"/>
          <w:sz w:val="17"/>
          <w:szCs w:val="17"/>
          <w:color w:val="auto"/>
        </w:rPr>
        <w:t>(“ASC 718”)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ASC 718 requires the recognition of stock-based compensation expense, using a fair-value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 for costs related to all stock- based compensation awards. We use the Black-Scholes option-pricing model to determine the fair value of options. The Black-Scholes option-pricing model requires the use of judgment to develop input assumptions, some of which are highly subjective, including:</w:t>
      </w:r>
    </w:p>
    <w:p>
      <w:pPr>
        <w:spacing w:after="0" w:line="3" w:lineRule="exact"/>
        <w:rPr>
          <w:sz w:val="20"/>
          <w:szCs w:val="20"/>
          <w:color w:val="auto"/>
        </w:rPr>
      </w:pPr>
    </w:p>
    <w:p>
      <w:pPr>
        <w:ind w:left="120" w:right="20" w:hanging="4"/>
        <w:spacing w:after="0" w:line="260" w:lineRule="auto"/>
        <w:tabs>
          <w:tab w:leader="none" w:pos="3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 (ii) the expected term of the award; (iii) the expected volatility; (iv) the risk-free interest rate; and (v) expected dividends. In applying these assumptions, we consider the following factors:</w:t>
      </w:r>
    </w:p>
    <w:p>
      <w:pPr>
        <w:spacing w:after="0" w:line="17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The grant date fair value of stock awards granted under its 2019 Stock Option and Grant Plan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fair market value of the Company’s common stock on the date of grant, as set forth in the applicable plan document. Due to the absence of an active market for the Company’s common stock, the Company utilized methodologies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estimated fair value of the common stock has been determined at each grant date based upon a variety of factors, including the illiquid nature of the common stock, recent transactions involving the Company’s stock, the effect of the rights and preferences of the preferred shareholders, and the prospects of a liquidity event. Among other factors are the Company’s financial position and historical financial performance, the status of clinical developments, the composition and ability of the current research and management team, an evaluation or benchmark of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Company’s competition, and the current business climate in the marketplace. Significant changes to the key assumptions underlying the factors used could result in different fair values of common stock at each valuation date.</w:t>
      </w:r>
    </w:p>
    <w:p>
      <w:pPr>
        <w:spacing w:after="0" w:line="160"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options granted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(based on the mid-point between the vesting date and the end of the contractual term). The expected life is applied to the stock option grant group as a whole as we do not expect substantially different exercise or post-vesting termination behavior among our employee population.</w:t>
      </w:r>
    </w:p>
    <w:p>
      <w:pPr>
        <w:spacing w:after="0" w:line="17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We used an average historical stock price volatility of comparable public companies within the biotechnology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industry that were deemed to be representative of future stock price trends due to absence of an active market for the Company’s common stock.</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We based the risk-free interest rate over the expected term of the options based on the constant maturity rate of 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Treasury securities with similar maturities as of the date of the grant.</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We have not paid and do not anticipate paying any dividends in the near future. Therefore, the expected dividend yield was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zero.</w:t>
      </w:r>
    </w:p>
    <w:p>
      <w:pPr>
        <w:spacing w:after="0" w:line="20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awards that vest based solely on achievement of a service condition, the Company recognizes expense on a straight-line basis over the period during which the award holder provides such services. The Company recognizes forfeitures as they occur and reverses any previously recognized compensation cost associated with forfeited awards. In accordance with ASU 2018-07, the Company accounts for share-based compensation for awards granted to nonemployees in a similar fashion to the way it accounts for share-based compensation awards to employees.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asset and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2023 and 2022,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At December 31, 2023 and 2022, the Company had no liability for income tax associated with uncertain tax positions. The Company would recognize any corresponding interest and penalties associated with its income tax positions in income tax expense. There was no income tax interest or penalties incurred during the years ended December 31, 2023 and 2022.</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changes in equity during a period arising from transactions and other equity and circumstances, of which we have none. Our comprehensive loss equals our net loss for all periods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Net loss per common share is computed using the two-class method required due to the participating nature of the redeemable convertible preferred stock. Although the redeemable convertible preferred stock are participating securities, such securities do not participate in net losses and therefore do not impact the Company’s net loss from continuing operations per share calculation as of December 31, 2023 and 2022.</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determined by dividing the net loss applicable to common shareholders by the weighted average common shares outstanding during the period. Outstanding common stock options, unvested restricted stock awards and redeemable convertible preferred shares are excluded from the calculation of diluted net loss per share when their effect would be anti-dilutive.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computations of diluted weighted average shares outstanding as they would be anti-dilutive: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22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88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09"/>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and restricted stock awards outstanding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4,897,868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884,669</w:t>
            </w: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Series Seed redeemable convertible preferred stock</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8,848,387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8,848,387</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11,423,688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12,938,801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in the table above reflect the common stock equivalents of the noted instruments.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has one operating segment. The Company’s chief operating decision maker, its Chief Executive Officer, manages the Company’s operations on a consolidated basis for the purpose of allocating resources.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and Not Adopted as of December 31, 2023</w:t>
      </w:r>
    </w:p>
    <w:p>
      <w:pPr>
        <w:spacing w:after="0" w:line="11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Accounting Standards Update 2023-09—</w:t>
      </w:r>
      <w:r>
        <w:rPr>
          <w:rFonts w:ascii="Times New Roman" w:cs="Times New Roman" w:eastAsia="Times New Roman" w:hAnsi="Times New Roman"/>
          <w:sz w:val="18"/>
          <w:szCs w:val="18"/>
          <w:i w:val="1"/>
          <w:iCs w:val="1"/>
          <w:color w:val="auto"/>
        </w:rPr>
        <w:t>Income Taxes (Topic 740): Improvements to Income Tax Disclosures, or ASU 2023-09.</w:t>
      </w:r>
      <w:r>
        <w:rPr>
          <w:rFonts w:ascii="Times New Roman" w:cs="Times New Roman" w:eastAsia="Times New Roman" w:hAnsi="Times New Roman"/>
          <w:sz w:val="18"/>
          <w:szCs w:val="18"/>
          <w:color w:val="auto"/>
        </w:rPr>
        <w:t xml:space="preserve"> ASU 2023-09 focuses on income tax disclosures around effective tax rates and cash income taxes paid. The standard largely follows the proposed ASU issued earlier in 2023 with several important modifications and clarifications. ASU 2023-09 is effective for public entities for annual periods beginning after December 15, 2024 and for all other business for annual periods beginning after December 15, 2025. Early adoption is permitted, and the Company is evaluating the impact of this guidance on the consolidated financial statements and related disclosures.</w:t>
      </w:r>
    </w:p>
    <w:p>
      <w:pPr>
        <w:spacing w:after="0" w:line="18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reviewed additional recent accounting pronouncements and concluded they are either not applicable or that the Company does not expect adoption to have a material effect on the consolidated financial statements.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as of December 31, 2023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300" w:type="dxa"/>
            <w:vAlign w:val="bottom"/>
            <w:vMerge w:val="restart"/>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1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 included within Cash and cash equivalent</w:t>
            </w:r>
          </w:p>
        </w:tc>
        <w:tc>
          <w:tcPr>
            <w:tcW w:w="1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230,088</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230,088</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230,088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230,088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the Company had no investments in money market funds.</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estimated the fair value of the Series B Tranche Rights at the time of issuance and subsequently remeasured them at each reporting period and prior to settlement. The fair value of the Series B Tranche Rights was determined using a contingent forward model, which considered as inputs the estimated fair value of the Series B Preferred Stock as of each valuation date, the risk-free interest rate, probability of achievement and estimated time to tranche closing. The most significant assumptions in the contingent forward model impacting the fair value of the Series B Tranche Rights are the fair value of the Company’s Series B Preferred Stock, probability of achievement, and time to the tranche closing as of each measurement date. The Company determined the fair value per share of the underlying Series B Preferred Stock by taking into consideration the most recent sales of its preferred units, results obtained from third-party valuations and additional factors the Company deems relevant.</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fair value of the Level 3 Series B Tranche Rights for the year ended December 31, 2023 and 2022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 Rights</w:t>
            </w:r>
          </w:p>
        </w:tc>
      </w:tr>
      <w:tr>
        <w:trPr>
          <w:trHeight w:val="173"/>
        </w:trPr>
        <w:tc>
          <w:tcPr>
            <w:tcW w:w="9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10"/>
        </w:trPr>
        <w:tc>
          <w:tcPr>
            <w:tcW w:w="9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recognized upon the issuance of preferred stock tranche rights</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9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the fair value of preferred stock tranche rights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13,405</w:t>
            </w:r>
          </w:p>
        </w:tc>
      </w:tr>
      <w:tr>
        <w:trPr>
          <w:trHeight w:val="216"/>
        </w:trPr>
        <w:tc>
          <w:tcPr>
            <w:tcW w:w="9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of the preferred stock tranche rights</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(14,047)</w:t>
            </w:r>
          </w:p>
        </w:tc>
      </w:tr>
      <w:tr>
        <w:trPr>
          <w:trHeight w:val="27"/>
        </w:trPr>
        <w:tc>
          <w:tcPr>
            <w:tcW w:w="9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in the estimation of the fair value of the Series B Tranche Rights, on closing dates of Series B financing tranches (as defined in Note 10):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3, 2023</w:t>
            </w: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8, 2023</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 2023</w:t>
            </w:r>
          </w:p>
        </w:tc>
      </w:tr>
      <w:tr>
        <w:trPr>
          <w:trHeight w:val="173"/>
        </w:trPr>
        <w:tc>
          <w:tcPr>
            <w:tcW w:w="36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Milestone Closing</w:t>
            </w: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Milestone Closing</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Initial Closing</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 price</w:t>
            </w:r>
          </w:p>
        </w:tc>
        <w:tc>
          <w:tcPr>
            <w:tcW w:w="1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7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Pr>
          <w:p>
            <w:pPr>
              <w:spacing w:after="0"/>
              <w:rPr>
                <w:sz w:val="20"/>
                <w:szCs w:val="20"/>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r>
      <w:tr>
        <w:trPr>
          <w:trHeight w:val="346"/>
        </w:trPr>
        <w:tc>
          <w:tcPr>
            <w:tcW w:w="3640" w:type="dxa"/>
            <w:vAlign w:val="bottom"/>
          </w:tcPr>
          <w:p>
            <w:pPr>
              <w:spacing w:after="0"/>
              <w:rPr>
                <w:sz w:val="24"/>
                <w:szCs w:val="24"/>
                <w:color w:val="auto"/>
              </w:rPr>
            </w:pPr>
          </w:p>
        </w:tc>
        <w:tc>
          <w:tcPr>
            <w:tcW w:w="23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F-14</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August 16, 2023, the Company entered into a 2.5 years lease for 4,617 square feet of office space in Boston, Massachusetts. The lease requires a security deposit totaling $0.1 million, which the Company has met with cash on deposit.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rent expense of $0.5 million for both years ended December 31, 2023 and 2022. Rent expense incurred prior to entering into the above lease agreement was based on a month-to-month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minimum aggregate future lease commitments are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960" w:type="dxa"/>
            <w:vAlign w:val="bottom"/>
            <w:tcBorders>
              <w:top w:val="single" w:sz="8" w:color="CCEEFF"/>
            </w:tcBorders>
            <w:shd w:val="clear" w:color="auto" w:fill="CCEEFF"/>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2024</w:t>
            </w:r>
          </w:p>
        </w:tc>
        <w:tc>
          <w:tcPr>
            <w:tcW w:w="3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2025</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960" w:type="dxa"/>
            <w:vAlign w:val="bottom"/>
            <w:shd w:val="clear" w:color="auto" w:fill="CCEEFF"/>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2026</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Pr>
          <w:p>
            <w:pPr>
              <w:spacing w:after="0"/>
              <w:rPr>
                <w:sz w:val="19"/>
                <w:szCs w:val="19"/>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imputed interest</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information:</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2.17 years</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r>
    </w:tbl>
    <w:p>
      <w:pPr>
        <w:spacing w:after="0" w:line="342"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2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$ 4,553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 and payroll related expenses</w:t>
            </w:r>
          </w:p>
        </w:tc>
        <w:tc>
          <w:tcPr>
            <w:tcW w:w="3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1,742</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1,176</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64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8,053</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$ 6,110</w:t>
            </w:r>
          </w:p>
        </w:tc>
      </w:tr>
      <w:tr>
        <w:trPr>
          <w:trHeight w:val="20"/>
        </w:trPr>
        <w:tc>
          <w:tcPr>
            <w:tcW w:w="6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Liabilities—Related Party</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liabilities—related party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200" w:type="dxa"/>
            <w:vAlign w:val="bottom"/>
            <w:tcBorders>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research—related party (Note 13)</w:t>
            </w:r>
          </w:p>
        </w:tc>
        <w:tc>
          <w:tcPr>
            <w:tcW w:w="5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$3,561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$ 12,648</w:t>
            </w: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3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2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3,561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12,649</w:t>
            </w:r>
          </w:p>
        </w:tc>
      </w:tr>
      <w:tr>
        <w:trPr>
          <w:trHeight w:val="20"/>
        </w:trPr>
        <w:tc>
          <w:tcPr>
            <w:tcW w:w="42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140" w:type="dxa"/>
            <w:vAlign w:val="bottom"/>
            <w:gridSpan w:val="3"/>
          </w:tcPr>
          <w:p>
            <w:pPr>
              <w:jc w:val="right"/>
              <w:ind w:right="4660"/>
              <w:spacing w:after="0"/>
              <w:rPr>
                <w:sz w:val="20"/>
                <w:szCs w:val="20"/>
                <w:color w:val="auto"/>
              </w:rPr>
            </w:pPr>
            <w:r>
              <w:rPr>
                <w:rFonts w:ascii="Times New Roman" w:cs="Times New Roman" w:eastAsia="Times New Roman" w:hAnsi="Times New Roman"/>
                <w:sz w:val="18"/>
                <w:szCs w:val="18"/>
                <w:color w:val="auto"/>
              </w:rPr>
              <w:t>F-15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 to Related Party</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Biocon Limited and its affiliates (“Biocon”) with which the Company conducts business, is the Company’s largest shareholder and the Executive Chairperson at Biocon is an investor and board member and is a relative of Bicara’s Chief Executive Officer.</w:t>
      </w:r>
    </w:p>
    <w:p>
      <w:pPr>
        <w:spacing w:after="0" w:line="16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6, 2021, the Company entered into an unsecured loan agreement with Biocon providing for $4.5 million of debt financing which was amended on October 28, 2021, pursuant to which the Company received and additional $4.5 million unsecured loan. Interest on the outstanding loan balance accrued at a fixed annual rate of 4.0%. The Company was obligated to pay the entire loan on demand on/or before the expiry of twelve months from the date of first disbursement, whichever was earlier along with the accrued interest as of the date of repayment. On April 26, 2022, the parties amended the unsecured loan agreement, whereby the loan was extinguished with no resulting gain or loss. As part of the new agreement, the Company issued 9,990,144 shares of its Series Seed Preferred Stock for the outstanding principal balance and accrued interest as of April 26, 2022, totaling $10.0 million.</w:t>
      </w:r>
    </w:p>
    <w:p>
      <w:pPr>
        <w:spacing w:after="0" w:line="333"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lawsuits, arbitrations, claims, investigations and proceedings, consisting of intellectual property, commercial, employment and other matters, which arise in the ordinary course of business. The Company makes provisions for liabilities when it is both probable that a liability has been incurred and the amount of the loss can be reasonably estimated.</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litigation and does not have contingency reserves established for any litigation liabilities as of December 31, 2023, and 2022.</w:t>
      </w:r>
    </w:p>
    <w:p>
      <w:pPr>
        <w:spacing w:after="0" w:line="306"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365,000,000 shares of Common Stock authorized for issuance, par value $0.0001 per share, of which 711,895 shares issued, net of share repurchased and cancellation, and 640,386 shares, net were outstanding as of December 31, 2023. The Company has reserved 5,881,181 shares of Common Stock for issuance to officers, directors, employees and consultants pursuant to the 2019 Stock Option and Grant Plan (see Note 11). Of the 640,386 shares outstanding, 87,404 shares relate to exercise of stock options, 437,203 shares relate to issuance of RSAs under the 2019 Stock Option and Grant Plan, and 115,757 shares of Common Stock are held by Biocon and were awarded by the Company in 2020.</w:t>
      </w:r>
    </w:p>
    <w:p>
      <w:pPr>
        <w:spacing w:after="0" w:line="328"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23, 2020, the Company issued to Biocon 40,000,000 shares of Series Seed Preferred Stock (“Seed Series”) with a par value of $0.0001 per share and purchase price of $1.00 per share, in exchange for net proceeds of $40.0 million. On April 26, 2022, the Company authorized for issuance an additional 50,940,144 shares of Series Seed Preferred Stock with par value of $0.0001 per share and price of $1.00 per share, of which 9,990,144 shares were issued to Biocon upon settlement of the related party note payable (see Note 7). On March 2, 2023, the Company reduced the total number of its authorized Series Seed Preferred Stock to 81,790,144.</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March 2022, as part of the first close of the Company’s Series Seed extension financing, the Company entered into several SAFEs, pursuant to which the Company received approximately $5.4 million in exchange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it’s agreement to issue to certain investors shares of it’s preferred stock upon the occurrence of the Series Seed extension financing at $1.00 per share. On April 26, 2022, the Company issued 5,350,000 shares of Series Seed Preferred Stock with par value of $0.0001 per share and a $1.00 per share price to settle the $5.4 million in SAFEs, of which 4,000,000 shares of Series Seed Preferred Stock were issued to two investors controlled by a board member, who is also a relative of the Chief Executive Officer, and 350,000 shares of Series Seed Preferred Stock held by relatives of the Chief Executive Officer.</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July 2022, as part of the second close of the Company’s Series Seed extension financing, the Company sold an additional 3,000,000 shares of Series Seed Preferred Stock to the two investors controlled by a board member, who is also a relative of the Chief Executive Officer, referred to above increasing their ownership to 7,000,000 shares of Series Seed Preferred Stock.</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On March 2, 2023, the Company issued 37,073,162 shares of Series B Preferred Stock at a price of $1.025 per share (the “Initial Series B Closing”) for net proceeds of $37.8 million.</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was also obligated to sell up to 68,521,939 additional shares (the “Milestone Shares”) of Series B Preferred Stock to the same purchasers at the same purchase price as the Initial Series B Closing the Series B Tranche Rights. The sale of Milestone Shares (the “Milestone Closings”) was contingent upon the Company’s achievement of certain milestones. In addition, if elected by a purchaser, the Company was obligated to sell Milestone Shares prior to achievement of the milestones (the “Voluntary Closings”). The Series B Tranche Rights are considered a freestanding instrument classified as a liability under ASC 480. The initial fair value of the liability was determined to be $0.6 million. Refer to Note 3 Fair Value Measurements to these consolidated financial statements for further details. Share issuances pursuant to exercise of the Series B Tranche Rights under such Milestone Closings occurred on September 8 and November 3, 2023 in the amounts of 39,024,386 and 29,497,553, respectively, for net proceeds of $69.9 million. Upon completion of the Milestone Closings, such tranche liabilities of $8.0 million and $6.0 million on September 8, 2023 and November 3, 2023, respectively, were settled to redeemable convertible preferred stock on the consolidated balance sheets. The Voluntary Closings were not exercised by the purchasers in 2023, and this right has expired.</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December 6, 2023, the Company issued 119,599,872 shares of Series C Preferred Stock at a price of $1.3796 per share in exchange for aggregate net proceeds of $164.6 million. The Company additionally executed various side letters where certain purchasers have the right to tender all owned shares back to the Company for an aggregate purchase price of $1.00 (the “Put Option”). The Put Option has no accounting implications as it is considered immaterial.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Series Seed Preferred Stock, Series B Preferred Stock and Series C Preferred Stock are collectively referred to as the “Preferred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the Preferred Stock had the following rights, preferences, and privileges: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Preferred Stock have rights to convert the shares of Preferred Stock into shares of Common Stock (the “Conversion Rights”) at the applicable original issue price (“Conversion Price”) with a conversion ratio (“Conversion Ratio”) of 1:9.2435.</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All outstanding shares of the Preferred Stock shall be converted automatically into shares of Common Stock upon the occurrence of any of the following events: a) the closing of the sale of shares of Common Stock to the public at a price of at least $15.94 per share in a public offering resulting in at least $50.0 of gross proceeds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“Qualified IPO); b) immediately prior to the closing of a SPAC Transaction (with at least $50.0 million in gross proceeds) or a “reverse merger” with a publicly traded corporation; c) upon the approval of at least 60% of the Series C preferred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Series B and Series C Preferred Stock</w:t>
      </w:r>
      <w:r>
        <w:rPr>
          <w:rFonts w:ascii="Times New Roman" w:cs="Times New Roman" w:eastAsia="Times New Roman" w:hAnsi="Times New Roman"/>
          <w:sz w:val="18"/>
          <w:szCs w:val="18"/>
          <w:color w:val="auto"/>
        </w:rPr>
        <w:t>—In the event of any voluntary or involuntary liquidation, dissolution or winding up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outstanding Series B Preferred Stock and Series C Preferred Stock are entitled to be paid out of the assets of the Company available for distribution to its stockholders and in case of a Deemed Liquidation Event (defined as a merger or consolidation in which the Company is a constituent party, or the sale, lease, transfer, exclusive license or other disposition by the Company of all or substantially all the assets), the holders of the Series B and Series C Preferred Stock shall be entitled to be paid out of the consideration payable to stockholders or out of the available proceeds of the Company, before the Series Seed and common stockholders, an amount per share (the “Liquidation Amount”) equal to the greater of: (a) the applicable original issue price, plus any dividends declared but unpaid, or (b) such amount per share amount as would have been payable on the conversion of all Series B Preferred Stock and Series C Preferred Stock (as applicable) into Common Stock immediately prior to such liquidation, dissolution, winding up or Deemed Liquidation Event. If the amount to be paid as Liquidation Amount is insufficient, then all Series B and Series C preferred stockholders shall share the assets available for distribution in proportion of their shareholding.</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Series Seed Preferred Stock</w:t>
      </w:r>
      <w:r>
        <w:rPr>
          <w:rFonts w:ascii="Times New Roman" w:cs="Times New Roman" w:eastAsia="Times New Roman" w:hAnsi="Times New Roman"/>
          <w:sz w:val="18"/>
          <w:szCs w:val="18"/>
          <w:color w:val="auto"/>
        </w:rPr>
        <w:t>—The Series Seed preferred stockholders shall have priority over the common stockholders, with a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equal to the greater of (a) the Series Seed original issue price, plus any dividends declared but unpaid thereon, or (b) such amount per share as would have been payable on the conversion of all shares of Series Seed Preferred Stock into Common Stock immediately prior to such liquidation, dissolution, winding up or Deemed Liquidation Event. If upon any such liquidation, dissolution or winding up of the Company or Deemed Liquidation Event, and after the payment of all preferential amounts required to be paid to the holders of the Series B Preferred Stock and Series C Preferred Stock, the assets of the Company available for distribution to its stockholders shall be insufficient to pay the holders of shares of Series Seed Preferred Stock the full amount to which they shall be entitled, the holders of shares of Series Seed Preferred Stock shall share ratably in any distribution of the assets available for distribution in proportion to the respective amounts which would otherwise be payable in respect of the shares of Series Seed Preferred Stock held by them upon such distribution if all amounts payable on or with respect to such shares were paid in full.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Preferred Stock is not redeemable except in the event of a Deemed Liquidation Event. As redemption by the holders is not within the control of the Company, all of the outstanding convertible preferred stock is classified as temporary equity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9"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Series B and Series C Preferred Stock</w:t>
      </w:r>
      <w:r>
        <w:rPr>
          <w:rFonts w:ascii="Times New Roman" w:cs="Times New Roman" w:eastAsia="Times New Roman" w:hAnsi="Times New Roman"/>
          <w:sz w:val="18"/>
          <w:szCs w:val="18"/>
          <w:color w:val="auto"/>
        </w:rPr>
        <w:t>—The holders of then outstanding shares of Series B Preferred Stock and Series C Preferred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only when, as and if declared by the Board of Directors of the Company, dividends at the rate of eight percent (8%) of the applicable original issue price for each share of Series B Preferred Stock or Series C Preferred Stock, prior and in preference to any declaration or payment of any other dividend on shares of Series Seed Preferred Stock or Common Stock (other than dividends on shares of Common Stock payable in shares of Common Stock) during the same calendar year. The Company shall not declare, pay or set aside any dividends on shares of any other class or series of capital stock of the Company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unless the holders of the Series B Preferred Stock and Series C Preferred Stock then outstanding first receive a dividend on each outstanding share of Series B Preferred Stock or Series C Preferred Stock at the same rate and same time on an as-converted basis. No dividends have been declared or paid as of December 31, 2023.</w:t>
      </w:r>
    </w:p>
    <w:p>
      <w:pPr>
        <w:spacing w:after="0" w:line="174"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Series Seed Preferred Stock</w:t>
      </w:r>
      <w:r>
        <w:rPr>
          <w:rFonts w:ascii="Times New Roman" w:cs="Times New Roman" w:eastAsia="Times New Roman" w:hAnsi="Times New Roman"/>
          <w:sz w:val="18"/>
          <w:szCs w:val="18"/>
          <w:color w:val="auto"/>
        </w:rPr>
        <w:t>—The Company shall not declare, pay or set aside any dividends on shares of Common Stock unless the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Seed Preferred Stock then outstanding shall first receive, or simultaneously receive, a dividend on each outstanding share of Preferred Stock at the same rate and same time on an as-converted basis. No dividends have been declared or paid as of December 31, 2023.</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Preferred Stock have the same voting rights as the holders of the Common Stock, on an as-converted basis. As of December 31, 2023, the board of directors of the Company was comprised of ten members. The election of directors is determined as following:</w:t>
      </w:r>
    </w:p>
    <w:p>
      <w:pPr>
        <w:spacing w:after="0" w:line="67"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Series Seed Preferred Stock, exclusively and as a separate class, shall be entitled to elect one</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the Company</w:t>
      </w:r>
    </w:p>
    <w:p>
      <w:pPr>
        <w:spacing w:after="0" w:line="1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Series B Preferred Stock, exclusively and as a separate class, shall be entitled to elect three</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w:t>
      </w:r>
    </w:p>
    <w:p>
      <w:pPr>
        <w:spacing w:after="0" w:line="1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Series C Preferred Stock, exclusively and as a separate class, shall be entitled to elect one</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the Company</w:t>
      </w:r>
    </w:p>
    <w:p>
      <w:pPr>
        <w:spacing w:after="0" w:line="11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common stock, $0.0001 par value per share, of the Company, exclusively and as a separate class, shall be entitled to elect one (1) director of the Company</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Common Stock and the Preferred Stock, voting together as a single class on an as converted basis, shall be entitled to elect the balance of the total number of directors of the Company.</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director elected as above may be removed without cause by, and only by, the affirmative vote of the holders of the class or series of capital stock entitled to elect such director or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Protective Provisions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At any time when shares of Preferred Stock are outstanding, the Company shall not do any of the following without the written consent or affirmative vote of at least 65% of the outstanding Preferred Stock holders, including at least one holder of Series C Preferred Stock who does not hold shares of any other class or series of Preferred Stock: 1) liquidate, dissolve or wind-up the business and affairs of the Company, or effect any merger or consolidation or any other Deemed Liquidation Event; 2) amend, alter or repeal any provision of the Certificate of Incorporation or Bylaws of the Company in a manner that adversely affects the powers, preferences or rights of the Preferred Stock; 3) create, issue, or reclassify any capital stock unless the same ranks junior to the Preferred Stock with respect to its rights, preferences and privileges; 4) cause or permit any of its subsidiaries to, without approval of the Board of Directors, sell, issue, sponsor, create or distribute any digital tokens, cryptocurrency or other blockchain-based assets;</w:t>
      </w:r>
    </w:p>
    <w:p>
      <w:pPr>
        <w:spacing w:after="0" w:line="3" w:lineRule="exact"/>
        <w:rPr>
          <w:sz w:val="20"/>
          <w:szCs w:val="20"/>
          <w:color w:val="auto"/>
        </w:rPr>
      </w:pPr>
    </w:p>
    <w:p>
      <w:pPr>
        <w:jc w:val="both"/>
        <w:ind w:left="120" w:hanging="4"/>
        <w:spacing w:after="0" w:line="253" w:lineRule="auto"/>
        <w:tabs>
          <w:tab w:leader="none" w:pos="32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or pay or declare any dividend or make any distribution on, any shares of capital stock of the Company other than as expressed with the Preferred Stock agreements; 6) create, issue, or authorize the issuance of any debt security or create any lien or security interest or incur other indebtedness for borrowed money; 7) create, or hold capital stock in, any subsidiary that is not wholly owned by the Company, or permit any subsidiary to create or issue any shares, or sell, transfer or otherwise dispose of any capital stock; 8) create, adopt, amend, terminate or repeal any equity (or equity-linked) compensation plan; or 9) increase or decrease the authorized number of directors constituting the Board of Directors.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protective provisions for certain classes of shares include the following:</w:t>
      </w:r>
    </w:p>
    <w:p>
      <w:pPr>
        <w:spacing w:after="0" w:line="11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Series B Preferred Stock</w:t>
      </w:r>
      <w:r>
        <w:rPr>
          <w:rFonts w:ascii="Times New Roman" w:cs="Times New Roman" w:eastAsia="Times New Roman" w:hAnsi="Times New Roman"/>
          <w:sz w:val="18"/>
          <w:szCs w:val="18"/>
          <w:color w:val="auto"/>
        </w:rPr>
        <w:t>—For so long as at least 52,797,551 shares of Series B Preferred Stock are outstanding, the Company shall not do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without the written consent or affirmative of at least 60% of the Series B holders: a) waive or otherwise forego any adjustment in the Series B Conversion Price; b) create, or authorize the creation of, or issue or obligate itself to issue shares of, or reclassify, any capital stock unless the same ranks junior to the Series B Preferred Stock with respect to its rights, preferences and privileges; or c) amend, modify, change or waive the liquidation amount applicable to the Series B Preferred Stock.</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Series C Preferred Stock</w:t>
      </w:r>
      <w:r>
        <w:rPr>
          <w:rFonts w:ascii="Times New Roman" w:cs="Times New Roman" w:eastAsia="Times New Roman" w:hAnsi="Times New Roman"/>
          <w:sz w:val="18"/>
          <w:szCs w:val="18"/>
          <w:color w:val="auto"/>
        </w:rPr>
        <w:t>—For so long as at least 71,759,924 shares of Series C Preferred Stock are outstanding, the Company shall not do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without the written consent or affirmative of at least 60% of the Series C holders: a) waive or otherwise forego any adjustment in the Series C Conversion Price; b) effect the conversion of the Series C Preferred Stock to Common Stock in a Qualified IPO; c) create, or authorize the creation of, or issue or obligate itself to issue shares of, or reclassify, any capital stock unless the same ranks junior to the Series C Preferred Stock with respect to its rights, preferences and privileges; or d) amend, modify, change or waive the liquidation amount applicable to the Series C Preferred Stock.</w:t>
      </w:r>
    </w:p>
    <w:p>
      <w:pPr>
        <w:spacing w:after="0" w:line="330"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Grant Plan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2019, the board of directors adopted, and the Company’s shareholders approved, the 2019 Stock Option and Grant Plan (the “2019 Plan”) under which the Company may grant equity-based incentive awards to the Company’s employees, officers, directors, consultants and other key persons of the Company and its affiliates upon whose judgement, initiative, and efforts the Company largely depends for the successful conduct of its business.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awards that are authorized to be issued:</w:t>
      </w:r>
    </w:p>
    <w:p>
      <w:pPr>
        <w:spacing w:after="0" w:line="131" w:lineRule="exact"/>
        <w:rPr>
          <w:sz w:val="20"/>
          <w:szCs w:val="20"/>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including Incentive Stock Options (“ISO”) or Non-Qualified Stock Options (“NQSO”);</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(“RSA”);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Stock Awards (“URSA”);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(“RSU”)</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2019 Plan, as amended, the Company is authorized to issue up to 5,881,181 shares of Common Stock. Through December 31, 2023, the Company has issued RSAs, ISOs and NQSOs under the 2019 Plan. The terms of equity award agreements, including vesting requirements, were determined by the board of directors and are subject to the provisions of the 2019 Plan. Equity awards granted to employees and non-employees generally vest over a four-year period but may be granted with different vesting terms. Certain options provide for early vesting.</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RSAs were issued under individual RSA agreements (the “Award Agreements”). The Award Agreements dictate vesting terms and once vested, the recipients’ restricted stock may not be sold, assigned, transferred, pledged or otherwise encumbered or disposed of except as specifically provided in the respective Award Agreement.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and non-employees expire no more than 10 years from the date of grant and are generally service based. A limited number of awards contain performance-based vesting criteria and for such awards that are deemed probable of vesting, the Company records expense in the period in which such determination is made through any estimated remaining vested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measured at the grant date based on the fair value of the award, is typically recognized ratably over the requisite service period, using the straight-line method of expense attribution. When utilizing the Black-Scholes option-pricing model to determine the grant date fair value of stock options granted to employees or non-employees, we used the following weighted average assumptions: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42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8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6.06</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8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81.65%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4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48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$3.79 – $5.45</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$ 4.44</w:t>
            </w:r>
          </w:p>
        </w:tc>
      </w:tr>
    </w:tbl>
    <w:p>
      <w:pPr>
        <w:spacing w:after="0" w:line="9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for non-employees and employees in its statements of operations as follows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1,899</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summary of RSA award activity for non-employees and employees of the Company is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400" w:type="dxa"/>
            <w:vAlign w:val="bottom"/>
          </w:tcPr>
          <w:p>
            <w:pPr>
              <w:spacing w:after="0"/>
              <w:rPr>
                <w:sz w:val="24"/>
                <w:szCs w:val="24"/>
                <w:color w:val="auto"/>
              </w:rPr>
            </w:pPr>
          </w:p>
        </w:tc>
        <w:tc>
          <w:tcPr>
            <w:tcW w:w="78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7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(106,693)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costs of $0.2 million related to unvested stock- based compensation arrangements are expected to be recognized as expense over a weighted average period of 0.57 years.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options award activity for non-employees and employees of the Company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54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40" w:type="dxa"/>
            <w:vAlign w:val="bottom"/>
            <w:gridSpan w:val="3"/>
            <w:vMerge w:val="continue"/>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727,304</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7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4,186,261</w:t>
            </w:r>
          </w:p>
        </w:tc>
        <w:tc>
          <w:tcPr>
            <w:tcW w:w="10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4.62</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(29,127)</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4.16</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(33,769)</w:t>
            </w:r>
          </w:p>
        </w:tc>
        <w:tc>
          <w:tcPr>
            <w:tcW w:w="10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4.25</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4,850,669</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4.53</w:t>
            </w: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9.50</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4.07</w:t>
            </w:r>
          </w:p>
        </w:tc>
        <w:tc>
          <w:tcPr>
            <w:tcW w:w="16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8.62</w:t>
            </w:r>
          </w:p>
        </w:tc>
        <w:tc>
          <w:tcPr>
            <w:tcW w:w="5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408,556</w:t>
            </w:r>
          </w:p>
        </w:tc>
        <w:tc>
          <w:tcPr>
            <w:tcW w:w="7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Exercisable and expected to vest as of December 31,</w:t>
            </w: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4,850,669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9.50</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82"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values is calculated as the difference between the exercise price of the underlying options and the fair value of the Company’s common stock on December 31, 2023 for the options that were in the money.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had 41,382,172 unvested stock options outstanding as of December 31, 2023. The weighted- average fair value of options granted during the year ended December 31, 2023, and 2022, was $3.33 and $2.77, respectively.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costs of $14.9 million related to unvested stock options are expected to be recognized as expense over a weighted average period of 3.58 years.</w:t>
      </w:r>
    </w:p>
    <w:p>
      <w:pPr>
        <w:spacing w:after="0" w:line="306"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taxes is not material for the years ended December 31, 2023, and 2022. The Company’s deferred tax assets (liabilities) consist of the following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080" w:type="dxa"/>
            <w:vAlign w:val="bottom"/>
            <w:tcBorders>
              <w:bottom w:val="single" w:sz="8" w:color="CCEEFF"/>
            </w:tcBorders>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5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18,980</w:t>
            </w: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1,698</w:t>
            </w: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R&amp;D Section 174 Intangibles</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4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5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120" w:type="dxa"/>
            <w:vAlign w:val="bottom"/>
          </w:tcPr>
          <w:p>
            <w:pPr>
              <w:spacing w:after="0"/>
              <w:rPr>
                <w:sz w:val="19"/>
                <w:szCs w:val="19"/>
                <w:color w:val="auto"/>
              </w:rPr>
            </w:pPr>
          </w:p>
        </w:tc>
      </w:tr>
      <w:tr>
        <w:trPr>
          <w:trHeight w:val="103"/>
        </w:trPr>
        <w:tc>
          <w:tcPr>
            <w:tcW w:w="40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liabilities—ROU asset</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(27,763)</w:t>
            </w:r>
          </w:p>
        </w:tc>
      </w:tr>
      <w:tr>
        <w:trPr>
          <w:trHeight w:val="27"/>
        </w:trPr>
        <w:tc>
          <w:tcPr>
            <w:tcW w:w="4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5160" w:type="dxa"/>
            <w:vAlign w:val="bottom"/>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F-22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has had net operating losses (“NOLs”) since inception. As of December 31, 2023, and December 31, 2022, the Company has federal net operating loss carryforwards of $80.4 million and $69.4 million, respectively, all of which can be carried forward indefinitely. The Company also has federal research and development tax credit carryforwards of $1.3 million and $ 0.8 million, respectively, available to reduce future tax liabilities, which expire at various dates beginning in 2040.</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has state net operating loss carryforwards of $75.6 million and $69.8 million as of December 31, 2023 and December 31, 2022, respectively, to reduce future state taxable income. These state NOLs carryforwards will start expiring in 2039. The Company also has state research and development tax credit carryforwards of $0.3 million as of December 31, 2023 and 2022, available to reduce future state tax liabilities, which expire at various dates beginning in 2035.</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provisions of the Internal Revenue Code, certain substantial changes in the Company’s ownership may result in a limitation on the amount of NOL carryforwards and research and development credit carryforwards that may be utilized annually to offset future taxable income and taxes payable. The Company has not determined whether a limitation has occurred.</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required by ASC 740, management has evaluated the positive and negative evidence bearing upon the realizability of its deferred tax assets, which principally comprise NOL carryforwards, research and development credit carryforwards and an IPR&amp;D license. Management has determined that it is more likely than not that the Company will not recognize the benefits of its federal and state deferred tax assets, and as a result, a valuation allowance of $37.7 million and $27.8 million has been established as of December 31, 2023, and 2022, respectively. The change in the valuation allowance was $9.9 million for the year ended December 31, 2023. The primary reason for the difference between the income tax expense recorded by the Company and the amount of income tax expense at statutory income tax rates was the change in the valuation allowance.</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had no unrecognized tax benefits. The Company has not 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statements of operations. As of December 31, 2023 and 2022, the Company has no accrued interest related to uncertain tax positions.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Internal Revenue Code. This could limit the amount of tax attributes that can be utilized annually to offset future taxable income or tax liabilities.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amount of the annual limitation is determined based on the Company’s value immediately prior to the ownership change. Subsequent ownership changes may further affect the limitation in future years. The Company has not conducted a Section 382 and 383 study for the year ended December 31,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(benefit) computed using the federal statutory income tax rate to the Company’s effective income tax rate is as follows:</w:t>
      </w:r>
    </w:p>
    <w:p>
      <w:pPr>
        <w:spacing w:after="0" w:line="182"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2023 </w:t>
            </w:r>
          </w:p>
        </w:tc>
        <w:tc>
          <w:tcPr>
            <w:tcW w:w="9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   2022 </w:t>
            </w:r>
          </w:p>
        </w:tc>
        <w:tc>
          <w:tcPr>
            <w:tcW w:w="260" w:type="dxa"/>
            <w:vAlign w:val="bottom"/>
            <w:tcBorders>
              <w:bottom w:val="single" w:sz="8" w:color="CCEEFF"/>
            </w:tcBorders>
          </w:tcPr>
          <w:p>
            <w:pPr>
              <w:spacing w:after="0"/>
              <w:rPr>
                <w:sz w:val="12"/>
                <w:szCs w:val="12"/>
                <w:color w:val="auto"/>
              </w:rPr>
            </w:pPr>
          </w:p>
        </w:tc>
      </w:tr>
      <w:tr>
        <w:trPr>
          <w:trHeight w:val="209"/>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computed at federal statutory tax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21.0%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business credit carryovers</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8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Agreements—Related Parties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notes payable to Biocon that were repaid through the issuance of the Series Seed Preferred Stock (refer to Notes 7 and 10, respectively), the Company entered into a master services agreement on December 15, 2020 (the “Master Services Agreement”) with Biocon. Pursuant to the terms of the master service agreement, Biocon provided services related to research and development, clinical trials, regulatory interactions and manufacturing. The Company did not incur any expenses under the Master Services Agreement during the year ended December 31, 2023 and 2022. As of December 31, 2023, and 2022, the Company owed $1.6 million and $4.8 million, respectively, of which $0 million and $3.3 million, respectively, were classified in accounts payable-related party, and $1.6 million for both years were classified in accrued expenses-related party on the balance sheets.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July 23, 2019, the Company entered into a manufacturing agreement with a wholly-owned subsidiary of Biocon, Biocon Biologics Limited (“BBL”) formerly Biocon Biologics India Limited, which is valid for 5 years unless earlier terminated by one of the parties. Additionally, the Company entered into a material transfer agreement on August 17, 2023, a quality agreement on October 12, 2023, a service agreement on October 18, 2023 and a manufacturing agreement on December 15, 2023 (the “BBL Agreements”). Pursuant to the terms of the BBL Agreements, BBL manufactures and supplies specified quantities of products to Bicara to be utilized in research and development and manufacturing as per purchase orders executed from time to time between the two parties. For the years ended December 31, 2023 and 2022, the Company incurred $1.2 million and $0 million research and development expenses, respectively, under the BBL Agreements. As of December 31, 2023, and 2022, the Company owed $0 million and $0.2 million, respectively, which were classified in accounts payable- related party.</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additionally entered into a manufacturing agreement with a wholly-owned subsidiary of Biocon, Syngene International Limited (“Syngene”), on July 17, 2019, as amended on May 18, 2022 and on August 1, 2022, along with a master contract services agreement on July 24, 2020 (the “Syngene Agreements”). Pursuant to the terms of the Syngene Agreements, Syngene manufactures and supplies specified quantities of products to Bicara to be used in research and development as per purchase orders executed from time to time between the two parties and performs additional contract research services under the master contract services agreement. The manufacturing agreement is valid for 6 years unless earlier terminated by one of the parties, while the master contract services agreement carried a term of 2 years. For the years ended December 31, 2023, and 2022, the Company incurred $8.4 million and $9.0 million of research and development expenses, respectively, under the Syngene Agreements. As of December 31, 2023, and 2022, the Company owed $2.9 million and $4.3 million, respectively, relating to these incurred costs, of which $1.0 million for both years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were classified in accounts payable-related party and $1.9 million and $3.3, respectively, were classified in accrued expenses-related party on the balance sheets.</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July 1, 2021, the Company entered into a master service agreement with a wholly-owned subsidiary of Biocon, Biofusion Therapeutics Limited (“Biofusion”) (the “Biofusion Agreement”), which was terminated upon acquisition of Biofusion by Sygnene on August 2, 2022. Pursuant to the terms of the Biofusion Agreement, Biofusion provided research and development services. As of December 31, 2022, the Company owed $7.7 million in connection with services provided by Biofusion, which were classified in accrued expenses- related party on the balance sheet, of which $4.1 million were incurred in 2022. The Company paid the full amount on March 21, 2023.</w:t>
      </w:r>
    </w:p>
    <w:p>
      <w:pPr>
        <w:spacing w:after="0" w:line="18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full recourse promissory note (the “Promissory Note”) with our Chief Financial Officer (“CFO”), pursuant to which the Company loaned $274 thousand, plus interest accruing at rate of 0.86% per annum (or if higher, the applicable federal rate as of the date of the Promissory Note), due by the earliest to occur of (i) December 31, 2025, (ii) the date of certain transfers of the collateral pledged under the Promissory Note, (iii) upon the day prior to the date a change in the Company’s or the CFO’s status would cause the loan to be deemed prohibited under applicable law, (iv) upon the date prior to the Company’s filing of a registration statement for an initial public offering or a change of control,</w:t>
      </w:r>
    </w:p>
    <w:p>
      <w:pPr>
        <w:spacing w:after="0" w:line="3" w:lineRule="exact"/>
        <w:rPr>
          <w:sz w:val="20"/>
          <w:szCs w:val="20"/>
          <w:color w:val="auto"/>
        </w:rPr>
      </w:pPr>
    </w:p>
    <w:p>
      <w:pPr>
        <w:jc w:val="both"/>
        <w:ind w:left="120" w:right="20" w:hanging="4"/>
        <w:spacing w:after="0" w:line="252" w:lineRule="auto"/>
        <w:tabs>
          <w:tab w:leader="none" w:pos="3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acceleration of the Promissory Note in accordance with its terms or (vi) the date three months following the CFO’s termination of employment with the Company. As part of the Promissory Note, the CFO pledged 616,320 shares of restricted Common Stock as collateral under the terms of a security agreement. The CFO has repaid principal and interest in the following amounts on the following dates: $71 thousand in September 2022 and $69 thousand in July 2023. There has been immaterial interest income from the Promissory Note. As of December 31, 2023, and 2022, the Company recorded $68 thousand for both years within prepaid expenses and other assets, and $68 thousand and $139 thousand, respectively, within other assets on the balance sheets.</w:t>
      </w:r>
    </w:p>
    <w:p>
      <w:pPr>
        <w:spacing w:after="0" w:line="334"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15, 2019, the Company entered into a master clinical contract services agreement with IQVIA RDS Inc (“IQVIA), which was amended in December 2023 to include global clinical trials Pursuant to the terms of the agreement, as amended, IQVIA will provide the Company with certain global clinical-development related services and laboratory services under separately executed statements of work (“SOWs”). In June 2021, the Company entered into an SOW with IQVIA for lab and clinical development services, to be invoiced on a monthly basis based on work performed by IQVIA. Under this SOW, Bicara agreed to provide IQVIA with an initial upfront payment of $1.8 million, of which $1.0 million was a refundable deposit and $0.8 million for investigator grant payment in advance. In December 2022, Bicara entered into an authorized to proceed agreement (“ATP”) with IQVIA. Under the ATP, Bicara agreed to provide IQVIA with an additional refundable deposit of $0.9 million, which was paid in March 2023. Both the initial deposit and the ATP deposit will be held on account and reconciled against final invoices. As of December 31, 2023, the refundable deposit balance was $1.9 million. For the years ended December 31, 2023 and 2022 the Company incurred $11.4 million and $6.0 million in expenses, respectively and paid $6.8 million and $3.7 million, respectively, to IQVIA. As of December 31, 2023 and 2022, the Company had $1.6 million and $0.3 million classified in accounts payable, respectively and $4.7 million and $2.7 million classified in accrued expenses and other current liabilities on the balance sheets.</w:t>
      </w:r>
    </w:p>
    <w:p>
      <w:pPr>
        <w:spacing w:after="0" w:line="334"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 (Unaudited) Subsequent to the Date of the Independent Auditor’s Report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August 2024, the Company amended the 2019 Plan. Under the 2019 Plan, as amended, the Company is authorized to issue up to 81,862,703 shares of Common Stock and granted 3.2 million stock options to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employees and new members of the board of directors, of which 2.9 million contained service and performance</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conditions contingent on the successful completion of the Company’s initial public offering by December 31, 2024, after which the options would be forfeited, and 0.3 million stock options contained only service conditions. The preliminary grant date fair value for these stock options was $7.12 and all stock options vest over a four-year period.</w:t>
      </w:r>
    </w:p>
    <w:p>
      <w:pPr>
        <w:spacing w:after="0" w:line="18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the performance condition of a successful initial public offering by December 31, 2024 must be met for 2.9 million of the stock options to vest, compensation cost will not be recognized until it is probable that such performance condition will be achieved and must be reevaluated each reporting period. The unrecognized stockbased compensation expense related to the 2.9 million stock options is approximately $20.8 million and it is expected to be recognized as an expense over four year vesting period after it is probable that the performance condition will be achieved.</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0.3 million stock options that contain only service conditions, the unrecognized stock-based compensation expense is approximately $2.2 million, and it is expected to be recognized as an expense over four years beginning in the third quarter of 2024.</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amended its certificate of incorporation in August 2024. As amended, the Company has the authority to issue 392,500,000 shares of Common Stock, $0.0001 par value per share and 306,985,117 shares of Preferred Stock, $0.0001 par value per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9"/>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203,855</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206,077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 of use asset—operating lease</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2,088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208,784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3,363</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payable—related party</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1,320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expenses and other current liabilities—related party</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Operating lease liability—current portion</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16,066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liability—net of current portion</w:t>
            </w:r>
          </w:p>
        </w:tc>
        <w:tc>
          <w:tcPr>
            <w:tcW w:w="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9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8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Series Seed redeemable convertible preferred stock, $0.0001 par value, 81,790,144 authorized; issued and outstanding as of June 30,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2024 and December 31, 2023, respectively (liquidation preference of $81,790 as of June 30, 2024, and December 31, 2023,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81,525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8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redeemable convertible preferred stock, $0.0001 par value, 105,595,101 shares authorized; issued and outstanding as of</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June 30, 2024 and December 31, 2023, respectively (liquidation preference of $108,235 as of June 30, 2024 and December 31,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2023, respectively);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121,148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Series C redeemable convertible preferred stock, $0.0001 par value, 119,599,872 shares authorized; issued and outstanding as of</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June 30, 2024 and December 31, 2023, respectively (liquidation preference of $165,000 as of June 30, 2024 and December 31,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2023, respectively)</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164,604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redeemable convertible preferred stock</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367,277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Common stock, $0.0001 par value, 365,000,000 shares authorized; 1,053,545 and 711,895 shares issued and 1,023,541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and 699,415 shares outstanding as of June 30, 2024 and December 31, 2023, respectively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7,800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(182,578)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(153,021)</w:t>
            </w:r>
          </w:p>
        </w:tc>
        <w:tc>
          <w:tcPr>
            <w:tcW w:w="0" w:type="dxa"/>
            <w:vAlign w:val="bottom"/>
          </w:tcPr>
          <w:p>
            <w:pPr>
              <w:spacing w:after="0"/>
              <w:rPr>
                <w:sz w:val="1"/>
                <w:szCs w:val="1"/>
                <w:color w:val="auto"/>
              </w:rPr>
            </w:pPr>
          </w:p>
        </w:tc>
      </w:tr>
      <w:tr>
        <w:trPr>
          <w:trHeight w:val="204"/>
        </w:trPr>
        <w:tc>
          <w:tcPr>
            <w:tcW w:w="89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(174,776)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8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208,784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 except shares and per share data)</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8,874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3,560</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28"/>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(35,124)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(16,672)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(29,557)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common shares outstanding,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9"/>
              </w:rPr>
              <w:t>774,012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546,171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 except shares)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Series Seed</w:t>
            </w:r>
          </w:p>
        </w:tc>
        <w:tc>
          <w:tcPr>
            <w:tcW w:w="940" w:type="dxa"/>
            <w:vAlign w:val="bottom"/>
            <w:gridSpan w:val="4"/>
          </w:tcPr>
          <w:p>
            <w:pPr>
              <w:jc w:val="center"/>
              <w:ind w:left="396"/>
              <w:spacing w:after="0"/>
              <w:rPr>
                <w:sz w:val="20"/>
                <w:szCs w:val="20"/>
                <w:color w:val="auto"/>
              </w:rPr>
            </w:pPr>
            <w:r>
              <w:rPr>
                <w:rFonts w:ascii="Times New Roman" w:cs="Times New Roman" w:eastAsia="Times New Roman" w:hAnsi="Times New Roman"/>
                <w:sz w:val="12"/>
                <w:szCs w:val="12"/>
                <w:b w:val="1"/>
                <w:bCs w:val="1"/>
                <w:color w:val="auto"/>
                <w:w w:val="95"/>
              </w:rPr>
              <w:t>Series B</w:t>
            </w:r>
          </w:p>
        </w:tc>
        <w:tc>
          <w:tcPr>
            <w:tcW w:w="4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13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Convertible</w:t>
            </w:r>
          </w:p>
        </w:tc>
        <w:tc>
          <w:tcPr>
            <w:tcW w:w="13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Convertible</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Preferred Stock</w:t>
            </w: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Preferred Stock</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w w:val="96"/>
              </w:rPr>
              <w:t>Common Equity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Paid</w:t>
            </w:r>
          </w:p>
        </w:tc>
        <w:tc>
          <w:tcPr>
            <w:tcW w:w="6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5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w w:val="90"/>
              </w:rPr>
              <w:t>Amount</w:t>
            </w:r>
          </w:p>
        </w:tc>
        <w:tc>
          <w:tcPr>
            <w:tcW w:w="160" w:type="dxa"/>
            <w:vAlign w:val="bottom"/>
          </w:tcPr>
          <w:p>
            <w:pPr>
              <w:spacing w:after="0"/>
              <w:rPr>
                <w:sz w:val="11"/>
                <w:szCs w:val="11"/>
                <w:color w:val="auto"/>
              </w:rPr>
            </w:pPr>
          </w:p>
        </w:tc>
        <w:tc>
          <w:tcPr>
            <w:tcW w:w="6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7"/>
              </w:rPr>
              <w:t>in 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w w:val="94"/>
              </w:rPr>
              <w:t>Deficit</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6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81,790,144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81,525</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504,544</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2,231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(101,036)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(98,803)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80" w:type="dxa"/>
            <w:vAlign w:val="bottom"/>
            <w:gridSpan w:val="5"/>
          </w:tcPr>
          <w:p>
            <w:pPr>
              <w:ind w:left="260"/>
              <w:spacing w:after="0" w:line="136" w:lineRule="exact"/>
              <w:rPr>
                <w:sz w:val="20"/>
                <w:szCs w:val="20"/>
                <w:color w:val="auto"/>
              </w:rPr>
            </w:pPr>
            <w:r>
              <w:rPr>
                <w:rFonts w:ascii="Times New Roman" w:cs="Times New Roman" w:eastAsia="Times New Roman" w:hAnsi="Times New Roman"/>
                <w:sz w:val="13"/>
                <w:szCs w:val="13"/>
                <w:color w:val="auto"/>
              </w:rPr>
              <w:t>Issuance of Series B redeemable convertible preferred stock, net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offering cost, expenses and discount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37,073,162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37,185</w:t>
            </w:r>
          </w:p>
        </w:tc>
        <w:tc>
          <w:tcPr>
            <w:tcW w:w="2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48"/>
        </w:trPr>
        <w:tc>
          <w:tcPr>
            <w:tcW w:w="2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54,035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615</w:t>
            </w:r>
          </w:p>
        </w:tc>
        <w:tc>
          <w:tcPr>
            <w:tcW w:w="0" w:type="dxa"/>
            <w:vAlign w:val="bottom"/>
          </w:tcPr>
          <w:p>
            <w:pPr>
              <w:spacing w:after="0"/>
              <w:rPr>
                <w:sz w:val="1"/>
                <w:szCs w:val="1"/>
                <w:color w:val="auto"/>
              </w:rPr>
            </w:pPr>
          </w:p>
        </w:tc>
      </w:tr>
      <w:tr>
        <w:trPr>
          <w:trHeight w:val="148"/>
        </w:trPr>
        <w:tc>
          <w:tcPr>
            <w:tcW w:w="2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(16,700)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(16,700)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81,790,144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81,525</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37,073,162</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37,185</w:t>
            </w:r>
          </w:p>
        </w:tc>
        <w:tc>
          <w:tcPr>
            <w:tcW w:w="260" w:type="dxa"/>
            <w:vAlign w:val="bottom"/>
            <w:tcBorders>
              <w:right w:val="single" w:sz="8" w:color="auto"/>
            </w:tcBorders>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575,746</w:t>
            </w: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2,917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(117,736)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(114,817)</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3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Series Seed</w:t>
            </w: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38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152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Series B Redeemable</w:t>
            </w:r>
          </w:p>
        </w:tc>
        <w:tc>
          <w:tcPr>
            <w:tcW w:w="13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Series C Redeemable</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38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Convertible</w:t>
            </w:r>
          </w:p>
        </w:tc>
        <w:tc>
          <w:tcPr>
            <w:tcW w:w="152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Convertible Preferred</w:t>
            </w:r>
          </w:p>
        </w:tc>
        <w:tc>
          <w:tcPr>
            <w:tcW w:w="13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Convertible Preferred</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138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Preferred Stock</w:t>
            </w:r>
          </w:p>
        </w:tc>
        <w:tc>
          <w:tcPr>
            <w:tcW w:w="860" w:type="dxa"/>
            <w:vAlign w:val="bottom"/>
            <w:gridSpan w:val="2"/>
          </w:tcPr>
          <w:p>
            <w:pPr>
              <w:jc w:val="center"/>
              <w:ind w:left="436"/>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left="476"/>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w w:val="96"/>
              </w:rPr>
              <w:t>Common Equity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Paid</w:t>
            </w:r>
          </w:p>
        </w:tc>
        <w:tc>
          <w:tcPr>
            <w:tcW w:w="6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64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40" w:type="dxa"/>
            <w:vAlign w:val="bottom"/>
          </w:tcPr>
          <w:p>
            <w:pPr>
              <w:spacing w:after="0"/>
              <w:rPr>
                <w:sz w:val="11"/>
                <w:szCs w:val="11"/>
                <w:color w:val="auto"/>
              </w:rPr>
            </w:pPr>
          </w:p>
        </w:tc>
        <w:tc>
          <w:tcPr>
            <w:tcW w:w="8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5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w w:val="90"/>
              </w:rPr>
              <w:t>Amount</w:t>
            </w:r>
          </w:p>
        </w:tc>
        <w:tc>
          <w:tcPr>
            <w:tcW w:w="160" w:type="dxa"/>
            <w:vAlign w:val="bottom"/>
          </w:tcPr>
          <w:p>
            <w:pPr>
              <w:spacing w:after="0"/>
              <w:rPr>
                <w:sz w:val="11"/>
                <w:szCs w:val="11"/>
                <w:color w:val="auto"/>
              </w:rPr>
            </w:pPr>
          </w:p>
        </w:tc>
        <w:tc>
          <w:tcPr>
            <w:tcW w:w="6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7"/>
              </w:rPr>
              <w:t>in 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w w:val="94"/>
              </w:rPr>
              <w:t>Deficit</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81,790,144</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$81,525</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105,595,101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121,148</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119,599,872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164,604</w:t>
            </w:r>
          </w:p>
        </w:tc>
        <w:tc>
          <w:tcPr>
            <w:tcW w:w="26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640,386</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4,250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(153,021)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(148,769)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0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Issuance of common stock upon exercise 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349,962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1,365</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33,193</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2,185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2,185</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(29,557)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(29,557)</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0" w:type="dxa"/>
            <w:vAlign w:val="bottom"/>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81,790,144</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81,525</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105,595,101</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u w:val="single" w:color="auto"/>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121,148</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119,599,872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164,604</w:t>
            </w:r>
          </w:p>
        </w:tc>
        <w:tc>
          <w:tcPr>
            <w:tcW w:w="260" w:type="dxa"/>
            <w:vAlign w:val="bottom"/>
            <w:tcBorders>
              <w:right w:val="single" w:sz="8" w:color="auto"/>
            </w:tcBorders>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1,023,541</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7,800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(182,578)</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(174,776)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BICARA THEAPEUTICS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6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(29,557)</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rights liability</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expenses—related party</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(9,662)</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(27,060)</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preferred stock and preferred stock tranche rights,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37,827</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deferred offering costs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230,440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203,855</w:t>
            </w:r>
          </w:p>
        </w:tc>
        <w:tc>
          <w:tcPr>
            <w:tcW w:w="3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14,990</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w:t>
            </w:r>
          </w:p>
        </w:tc>
        <w:tc>
          <w:tcPr>
            <w:tcW w:w="15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Vesting of early exercise stock options</w:t>
            </w:r>
          </w:p>
        </w:tc>
        <w:tc>
          <w:tcPr>
            <w:tcW w:w="15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5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B preferred stock tranche rights liability, upon initial issuance of shares</w:t>
            </w:r>
          </w:p>
        </w:tc>
        <w:tc>
          <w:tcPr>
            <w:tcW w:w="15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of June 30, 2024 and December 31, 2023 and for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9"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Bicara Therapeutics Inc. (“Bicara” or the “Company”) was incorporated in the state of Delaware in December 2018 and is a clinical-stage biopharmaceutical company based in Boston, Massachusetts. The Company is committed to bringing transformative bifunctional therapies to patients with solid tumors. Its lead program ficerafusp alfa is a bifunctional antibody that combines a clinically validated epidermal growth factor receptor directed monoclonal antibody with a domain that binds to human transforming growth factor beta.</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inception, the Company has operated in the preclinical and clinical stages and has devoted substantially all its time and efforts to performing research and development activities, raising capital, and recruiting management and technical staff to support these operations. The Company is subject to risks and uncertainties common to early-stage companies in the biotechnology industry including, but not limited to, risks associated with the successful research, development and manufacturing of product candidates, competition from other companies, dependence on key personnel, protection of intellectual property,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Bicara will realize significant revenue from product sales.</w:t>
      </w:r>
    </w:p>
    <w:p>
      <w:pPr>
        <w:spacing w:after="0" w:line="19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historically has funded its operations from the issuance of redeemable convertible preferred stock, common stock and through debt financing.</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such losses and negative operating cash flows to continue for the foreseeable future. As of June 30, 2024, the Company had cash of $203.9 million and an accumulated deficit of $182.6 million.</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During 2023, the Company raised net proceeds of $272.3 million from the issuance of redeemable convertible preferred stock. The Company expects that its cash and cash equivalents as of June 30, 2024 of $203.9 million will be sufficient to fund the operating expenditures and capital expenditure requirements necessary to advance its research efforts and clinical trials for at least one year from the date of issuance of these unaudited condensed consolidated financial statements.</w:t>
      </w:r>
    </w:p>
    <w:p>
      <w:pPr>
        <w:spacing w:after="0" w:line="324"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conformity with accounting principles generally accepted in the United States of America (“U.S. GAAP”) and applicable rules and regulations of the Securities and Exchange Commission (SEC). Any reference in these notes to applicable guidance is meant to refer to the authoritative GAAP as found in the Accounting Standards Codification (“ASC”) and Accounting Standards Updates (“ASU”) of the Financial Accounting Standards Board (“FASB”).</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financial position, results of operations and cash flows of Bicara. The Company’s unaudited condensed consolidated financial statements are denominated in U.S. dollars. The unaudited condensed consolidated financial statements include the accounts of the Company and its wholly owned, controlled subsidiary. All intercompany transactions and balances have been eliminated in consolidation.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September 2024, the Company effected a 1-for-9.2435 reverse stock split of its common stock. On the effective date of the reverse stock split,</w:t>
      </w:r>
    </w:p>
    <w:p>
      <w:pPr>
        <w:spacing w:after="0" w:line="27" w:lineRule="exact"/>
        <w:rPr>
          <w:sz w:val="20"/>
          <w:szCs w:val="20"/>
          <w:color w:val="auto"/>
        </w:rPr>
      </w:pPr>
    </w:p>
    <w:p>
      <w:pPr>
        <w:jc w:val="both"/>
        <w:ind w:left="120" w:right="20" w:hanging="4"/>
        <w:spacing w:after="0" w:line="252" w:lineRule="auto"/>
        <w:tabs>
          <w:tab w:leader="none" w:pos="33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9.2435 shares of outstanding common stock were reduced to one share of common stock; (ii) the number of shares of common stock into which each outstanding option to purchase common stock is exercisable were proportionately reduced on a 9.2435-to-1 basis; and (iii) the exercise price of each outstanding option to purchase common stock were proportionately increased on a 1-to-9.2435 basis. All the share numbers, share prices, and exercise prices have been adjusted, on a retroactive basis, to reflect this 1-for-9.2435 reverse stock split. Additionally, the authorized, issued and outstanding shares of redeemable convertible preferred stock and their related per share amount, other than the conversion price per share, was not adjusted as a result of the reverse stock split.</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June 30, 2024, condensed consolidated statements of operations, condensed consolidated statements of redeemable convertible preferred stock and stockholders’ deficit and condensed consolidated cash flows for the six months ended June 30, 2024 and 2023 and related notes to condensed consolidated financial statements are unaudited. These unaudited interim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consolidated financial position, results of operations and cash flows for the periods presented. The condensed consolidated results of operations for the six months ended June 30, 2024 are not necessarily indicative of the results to be expected for the full year or for any other future annual or interim period. The condensed consolidated balance sheet as of December 31, 2023 included herein was derived from the audited consolidated financial statements as of that date. These interim condensed consolidated financial statements should be read in conjunction with the Company’s audited consolidated financial statements included elsewhere in this prospectus.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liabilities, revenue, expenses and the related disclosure of contingent assets and liabilities as of and during the reporting period. The Company bases its estimates on historical experience when available and on other assumptions that management believes are reasonable under the circumstances. Significant estimates and assumptions reflected in these unaudited condensed consolidated financial statements include but are not limited to: the estimated costs of research and development activities, the fair value of tranche right liabilities, and the fair values of common stock and stock awards and associated stock-based compensation expense. The Company assesses estimates on an ongoing basis; however, actual results could materially differ from those estimates.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recorded shares of redeemable convertible preferred stock at their respective fair values on the dates of issuance, net of issuance costs. The Company applied the guidance in </w:t>
      </w:r>
      <w:r>
        <w:rPr>
          <w:rFonts w:ascii="Times New Roman" w:cs="Times New Roman" w:eastAsia="Times New Roman" w:hAnsi="Times New Roman"/>
          <w:sz w:val="18"/>
          <w:szCs w:val="18"/>
          <w:i w:val="1"/>
          <w:iCs w:val="1"/>
          <w:color w:val="auto"/>
        </w:rPr>
        <w:t>ASC 480-10-S99-3A, SEC Staff Announcement: Classification and Measurement of Redeemable Securities</w:t>
      </w:r>
      <w:r>
        <w:rPr>
          <w:rFonts w:ascii="Times New Roman" w:cs="Times New Roman" w:eastAsia="Times New Roman" w:hAnsi="Times New Roman"/>
          <w:sz w:val="18"/>
          <w:szCs w:val="18"/>
          <w:color w:val="auto"/>
        </w:rPr>
        <w:t>, and therefore classified the Series Seed, Series B and Series C convertible preferred stock as mezzanine equity. The convertible preferred stock was recorded outside of stockholders’ deficit because, in the event of certain deemed liquidation events considered not solely within the Company’s control, such as a merger or consolidation and sale, lease or transfer of all or substantially all of the Company’s assets, the convertible preferred stock would have become redeemable at the option of the holders. In the event of a change of control of the Company, proceeds received from the sale of such shares would have been distributed in accordance with the corresponding liquidation preferences. The Company did not adjust the carrying values of the convertible preferred stock to the deemed liquidation values of such shares since a liquidation event was not probable at any of the reporting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Tranche Rights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consolidated financial statements. We present such liabilities on the balance sheets at their estimated fair values. Changes in fair value of the liability are calculated each reporting period, and any change in value are recognized in the consolidated statements of operations.</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Series B Preferred Stock issuance as described in Note 7 Redeemable Convertible Preferred Stock to these condensed consolidated financial statements, included tranche rights (“Series B Tranche Rights”) to purchasers who participated in the initial Series B Preferred Stock issuance. The Series B Tranche Rights were determined to be a “freestanding financial instrument” as defined in the ASC Master Glossary as they are legally detachable and separately exercisable. Management assessed the freestanding financial instrument under </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determined that such rights should be accounted for as a liability at fair value given they impose an obligation on the Company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that are contingently redeemable. The Series B Tranche Rights were revalued at each reporting period until settlement, with changes in the fair value recorded in the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framework is used for measuring fair value utilizing a three-tier hierarchy that prioritizes the inputs to valuation techniques used to measure fair value.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3" w:lineRule="exact"/>
        <w:rPr>
          <w:sz w:val="20"/>
          <w:szCs w:val="20"/>
          <w:color w:val="auto"/>
        </w:rPr>
      </w:pPr>
    </w:p>
    <w:p>
      <w:pPr>
        <w:ind w:left="1080" w:hanging="532"/>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1—defined as observable inputs, such as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2—defined as inputs other than quoted prices included in Level 1 that are either directly or indirectly observable;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3—defined as significant unobservable inputs in which little or no market data exists, therefore, requiring an entity to develop its own assumptions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assets (which include cash) and liabilities (which include accounts payable) approximate fair value because of the short maturity of these instruments and have been classified as Level 1. The Series B Tranche Rights are classified as Level 3 financial liabilities (Refer to Note 3 Fair value measurement to these unaudited condensed consolidated financial statements for more details).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held in standard checking accounts and money market funds at two financial institutions. The Company considers all highly liquid investments with a maturity date of 90 days or less at the date of purchase to be cash equivalents.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At times, the Company’s cash deposits may be in excess of insured limits. Company has not experienced any losses on its deposits of cash and does not have off-balance sheet concentrations of credit risk.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lessees to recognize right-of-use assets and lease liabilities on the balance sheet for all leases with a term of greater than 12 months regardless of classification. Operating lease right-of-use assets and liabilities are recognized at the commencement date based on the present value of lease payments over the lease term discounted using an appropriate incremental borrowing rate. The incremental borrowing rate is based on the estimated interest rate for borrowing over a term similar to that of the lease payments at commencement of the lease. The operating lease expense for the operating leases is recognized on a straight-line basis over the lease term. The Company has elected the practical expedient to not separate lease and non-lease components of contracts.</w:t>
      </w:r>
    </w:p>
    <w:p>
      <w:pPr>
        <w:spacing w:after="0" w:line="18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adopted this new standard on January 1, 2022 using the required modified retrospective approach and utilizing the effective date as its date of initial application. The adoption of this standard did not have an impact on the Company’s financial statements.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adoption, the Company elected, to apply the ‘package of practical expedients’ which permits the Company (i) not to reassess whether expired existing contracts are or contain leases, (ii) not to reassess the classification of expired or existing leases, if any, and (iii) not to reassess initial direct costs for any existing leases.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19"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Research and development costs are expensed as incurred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(“ASC 730”). Research and development expenses include costs directly attributable to the conduct of research and development programs, including compensation costs, which includes salaries and benefits, stock-based compensation expense and the cost of services provided by outside contractors.</w:t>
      </w:r>
    </w:p>
    <w:p>
      <w:pPr>
        <w:spacing w:after="0" w:line="175"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capitalizes advance payments for goods or services that will be used or rendered for future research and development activities and recognizes expense as the related goods are delivered or services are performed. The Company also records expenses and accruals for estimated costs of research and development activities, including third party contract services for clinical research and contract manufacturing. The Company bases its estimates on the best information available at the time. Costs for certain research and development activities are recognized based on the pattern of performance of the individual arrangements, which may differ from the pattern of billings incurred, and are reflected in the consolidated financial statements as prepaid expenses or as accrued research and development expenses.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terms of these agreements are subject to negotiation, vary from contract to contract, and may result in uneven payment flows to the Company’s vendors. Billing terms and payments are reviewed by management to ensure estimates of outstanding obligations are appropriate as of period end. Tracking the progress of completion for clinical trial and contract manufacturing activities performed by third parties allows the Company to record the appropriate expense and accruals under the terms of the agreements. During the six-months ended June 30, 2024 and 2023, the Company incurred $27.9 million and $13.1 million, respectively,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relating to research and development expenses. The Company recorded accrued liabilities of $8.5 million and $9.6 million for clinical trial and contract manufacturing expenses as of June 30, 2024 and December 31,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share-based compensation expense, related to the Company’s executive, finance and other support functions. Other general and administrative expenses include professional fees for legal, auditing, tax, consulting services, investor relations, IT and office expenses, rent and insurance.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employee and nonemployee compensation awards in accordance with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ASC 718 requires the recognition of stock-based compensation expense, using a fair-value based method, for costs related to all stock-based compensation awards. We use the Black-Scholes option-pricing model to determine the fair value of options. The Black-Scholes option-pricing model requires the use of judgment to develop input assumptions, some of which are highly subjective, including: (i) the fair value of our common stock on the date of grant; (ii) the expected term of the award; (iii) the expected volatility; (iv) the risk-free interest rate; and (v) expected dividends. In applying these assumptions, we consider the following factors: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The grant date fair value of stock awards granted under its 2019 Stock Option and Grant Plan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fair market value of the Company’s common stock on the date of grant, as set forth in the applicable plan document. Due to the absence of an active market for the Company’s common stock, the Company utilized methodologies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estimated fair value of the common stock has been determined at each grant date based upon a variety of factors, including the illiquid nature of the common stock, recent transactions involving the Company’s stock, the effect of the rights and preferences of the preferred shareholders, and the prospects of a liquidity event. Among other factors are the Company’s financial position and historical financial performance, the status of clinical developments,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188"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options granted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(based on the mid-point between the vesting date and the end of the contractual term). The expected life is applied to the stock option grant group as a whole as we do not expect substantially different exercise or post-vesting termination behavior among our employee population.</w:t>
      </w:r>
    </w:p>
    <w:p>
      <w:pPr>
        <w:spacing w:after="0" w:line="17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We used an average historical stock price volatility of comparable public companies within the biotechnology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industry that were deemed to be representative of future stock price trends due to absence of an active market for the Company’s common stock.</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We based the risk-free interest rate over the expected term of the options based on the constant maturity rate of 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Treasury securities with similar maturities as of the date of the grant.</w:t>
      </w:r>
    </w:p>
    <w:p>
      <w:pPr>
        <w:spacing w:after="0" w:line="205"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We have not paid and do not anticipate paying any dividends in the near future. Therefore, the expected dividend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zero.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awards that vest based solely on achievement of a service condition, the Company recognizes expense on a straight-line basis over the period during which the award holder provides such services. The Company recognizes forfeitures as they occur and reverses any previously recognized compensation cost associated with forfeited awards. In accordance with ASU 2018-07, the Company accounts for share-based compensation for awards granted to nonemployees in a similar fashion to the way it accounts for share-based compensation awards to employees.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certain changes in stockholders’ equity that are excluded from net loss, of which we have none. Our comprehensive loss equals our net loss for all periods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Net loss per common share is computed using the two-class method required due to the participating nature of the redeemable convertible preferred stock. Although the redeemable convertible preferred stock are participating securities, such securities do not participate in net losses and therefore do not impact the Company’s net loss from continuing operations per share calculations.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determined by dividing the net loss applicable to common shareholders by the weighted average common shares outstanding during the period. Outstanding common stock options, unvested restricted stock awards and redeemable convertible preferred shares are excluded from the calculation of diluted net loss per share when their effect would be anti-dilutive.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computations of diluted weighted average shares outstanding as they would be anti-dilutive: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84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and restricted stock awards outstanding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4,635,215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4,897,868</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Series Seed redeemable convertible preferred stock</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8,848,387</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8,848,387</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11,423,688</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11,423,688</w:t>
            </w:r>
          </w:p>
        </w:tc>
      </w:t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12,938,801</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12,938,801</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in the table above reflect the common stock equivalents of the noted instruments.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has one operating segment. The Company’s chief operating decision maker, its Chief Executive Officer, manages the Company’s operations on a consolidated basis for the purpose of allocating resources.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Pronouncements and Significant Accounting Policies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reviews new accounting standards as they are issued by the FASB or other standard-setting bodies. As of June 30, 2024, the Company has not identified any new standards that it believes will have a material impact on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and Not Adopted as of June 30, 2024</w:t>
      </w:r>
    </w:p>
    <w:p>
      <w:pPr>
        <w:spacing w:after="0" w:line="119"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Accounting Standards Update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an entity report segment information in accordance with Topic 280,</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Segment Reporting. The amendment in the ASU is intended to improve reportable segment disclosure requirements primarily through enhanced disclosures about significant segment expenses. The amendments in this update are effective for fiscal years beginning after December 15, 2023, and interim periods within fiscal years beginning after December 15, 2024, on a retrospective basis, with early adoption permitted. The Company is currently evaluating the impact of the new standard on its unaudited condensed consolidated financial statements and disclosures.</w:t>
      </w:r>
    </w:p>
    <w:p>
      <w:pPr>
        <w:spacing w:after="0" w:line="17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Accounting Standards Update 2023-09—</w:t>
      </w:r>
      <w:r>
        <w:rPr>
          <w:rFonts w:ascii="Times New Roman" w:cs="Times New Roman" w:eastAsia="Times New Roman" w:hAnsi="Times New Roman"/>
          <w:sz w:val="18"/>
          <w:szCs w:val="18"/>
          <w:i w:val="1"/>
          <w:iCs w:val="1"/>
          <w:color w:val="auto"/>
        </w:rPr>
        <w:t>Income Taxes (Topic 740): Improvements to Income Tax Disclosures, or ASU 2023-09.</w:t>
      </w:r>
      <w:r>
        <w:rPr>
          <w:rFonts w:ascii="Times New Roman" w:cs="Times New Roman" w:eastAsia="Times New Roman" w:hAnsi="Times New Roman"/>
          <w:sz w:val="18"/>
          <w:szCs w:val="18"/>
          <w:color w:val="auto"/>
        </w:rPr>
        <w:t xml:space="preserve"> ASU 2023-09 focuses on income tax disclosures around effective tax rates and cash income taxes paid. The standard largely follows the proposed ASU issued in 2023 with several important modifications and clarifications. ASU 2023-09 is effective for public entities for annual periods beginning after December 15, 2024 and for all other business for annual periods beginning after December 15, 2025. Early adoption is permitted, and the Company is evaluating the impact of this guidance on the unaudited condensed consolidated financial statements and related disclosures.</w:t>
      </w:r>
    </w:p>
    <w:p>
      <w:pPr>
        <w:spacing w:after="0" w:line="18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reviewed additional recent accounting pronouncements and concluded they are either not applicable or that the Company does not expect adoption to have a material effect on the unaudited condensed consolidated financial statements.</w:t>
      </w:r>
    </w:p>
    <w:p>
      <w:pPr>
        <w:spacing w:after="0" w:line="306"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as of June 30,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40" w:type="dxa"/>
            <w:vAlign w:val="bottom"/>
            <w:vMerge w:val="restart"/>
          </w:tcPr>
          <w:p>
            <w:pPr>
              <w:spacing w:after="0"/>
              <w:rPr>
                <w:sz w:val="13"/>
                <w:szCs w:val="13"/>
                <w:color w:val="auto"/>
              </w:rPr>
            </w:pPr>
          </w:p>
        </w:tc>
        <w:tc>
          <w:tcPr>
            <w:tcW w:w="7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 included within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w:t>
            </w:r>
          </w:p>
        </w:tc>
        <w:tc>
          <w:tcPr>
            <w:tcW w:w="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202,354</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202,354</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202,354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202,354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40" w:type="dxa"/>
            <w:vAlign w:val="bottom"/>
            <w:vMerge w:val="restart"/>
          </w:tcPr>
          <w:p>
            <w:pPr>
              <w:spacing w:after="0"/>
              <w:rPr>
                <w:sz w:val="24"/>
                <w:szCs w:val="24"/>
                <w:color w:val="auto"/>
              </w:rPr>
            </w:pPr>
          </w:p>
        </w:tc>
        <w:tc>
          <w:tcPr>
            <w:tcW w:w="7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24"/>
                <w:szCs w:val="24"/>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 included within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w:t>
            </w:r>
          </w:p>
        </w:tc>
        <w:tc>
          <w:tcPr>
            <w:tcW w:w="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230,088</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230,088</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230,088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230,088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estimated the fair value of the Series B Tranche Rights at the time of issuance and subsequently remeasured them at each reporting period and prior to settlement. The fair value of the Series B Tranche Rights was determined using a contingent forward model, which considered as inputs the estimated fair value of the Series B Preferred Stock as of each valuation date, the risk-free interest rate, probability of achievement and estimated time to tranche closing. The most significant assumptions in the contingent forward model impacting the fair value of the Series B Tranche Rights are the fair value of the Company’s Series B Preferred Stock, probability of achievement of certain milestones, and time to the tranche closing as of each measurement date. The Company determined the fair value per share of the underlying Series B Preferred Stock by taking into consideration the most recent sales of its preferred units, results obtained from third-party valuations and additional factors the Company deemed relevant.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fair value of the Level 3 Series B Tranche Rights for the six months ended June 30, 2023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Tranche Rights</w:t>
            </w:r>
          </w:p>
        </w:tc>
      </w:tr>
      <w:tr>
        <w:trPr>
          <w:trHeight w:val="173"/>
        </w:trPr>
        <w:tc>
          <w:tcPr>
            <w:tcW w:w="10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recognized upon the issuance of preferred stock tranche rights</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w:t>
            </w:r>
          </w:p>
        </w:tc>
        <w:tc>
          <w:tcPr>
            <w:tcW w:w="40" w:type="dxa"/>
            <w:vAlign w:val="bottom"/>
          </w:tcPr>
          <w:p>
            <w:pPr>
              <w:spacing w:after="0"/>
              <w:rPr>
                <w:sz w:val="18"/>
                <w:szCs w:val="18"/>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the fair value of preferred stock tranche rights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2023, the Company recorded $0.7 million tranche rights liability within accrued expenses and other current liabilities on the balance sheet. The tranche rights liability were settled in September and November 2023.</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in the estimation of the fair value of the Series B Tranche Rights, on the initial closing date of Series B financing tranches and as of June 30, 2023:</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6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Risk-free rate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Probability of achievement</w:t>
      </w:r>
    </w:p>
    <w:p>
      <w:pPr>
        <w:spacing w:after="0" w:line="351"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Accrued expenses and other current liabilities consisted of the following (in thousands):</w:t>
      </w: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54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bonus and payroll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professional fees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other</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2, 2023</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73"/>
        </w:trPr>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Initial Closing</w:t>
            </w:r>
          </w:p>
        </w:tc>
        <w:tc>
          <w:tcPr>
            <w:tcW w:w="20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r>
      <w:tr>
        <w:trPr>
          <w:trHeight w:val="191"/>
        </w:trPr>
        <w:tc>
          <w:tcPr>
            <w:tcW w:w="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6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20" w:type="dxa"/>
            <w:vAlign w:val="bottom"/>
          </w:tcPr>
          <w:p>
            <w:pPr>
              <w:spacing w:after="0"/>
              <w:rPr>
                <w:sz w:val="18"/>
                <w:szCs w:val="18"/>
                <w:color w:val="auto"/>
              </w:rPr>
            </w:pPr>
          </w:p>
        </w:tc>
        <w:tc>
          <w:tcPr>
            <w:tcW w:w="16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320" w:type="dxa"/>
            <w:vAlign w:val="bottom"/>
          </w:tcPr>
          <w:p>
            <w:pPr>
              <w:spacing w:after="0"/>
              <w:rPr>
                <w:sz w:val="20"/>
                <w:szCs w:val="20"/>
                <w:color w:val="auto"/>
              </w:rPr>
            </w:pPr>
          </w:p>
        </w:tc>
        <w:tc>
          <w:tcPr>
            <w:tcW w:w="16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$6,441</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6,035</w:t>
            </w:r>
          </w:p>
        </w:tc>
        <w:tc>
          <w:tcPr>
            <w:tcW w:w="20" w:type="dxa"/>
            <w:vAlign w:val="bottom"/>
          </w:tcPr>
          <w:p>
            <w:pPr>
              <w:spacing w:after="0"/>
              <w:rPr>
                <w:sz w:val="16"/>
                <w:szCs w:val="16"/>
                <w:color w:val="auto"/>
              </w:rPr>
            </w:pPr>
          </w:p>
        </w:tc>
      </w:tr>
      <w:tr>
        <w:trPr>
          <w:trHeight w:val="216"/>
        </w:trPr>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r>
      <w:tr>
        <w:trPr>
          <w:trHeight w:val="234"/>
        </w:trPr>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8,979</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0" w:type="dxa"/>
            <w:vAlign w:val="bottom"/>
          </w:tcPr>
          <w:p>
            <w:pPr>
              <w:spacing w:after="0"/>
              <w:rPr>
                <w:sz w:val="19"/>
                <w:szCs w:val="19"/>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07" w:lineRule="exact"/>
        <w:rPr>
          <w:sz w:val="20"/>
          <w:szCs w:val="20"/>
          <w:color w:val="auto"/>
        </w:rPr>
      </w:pPr>
    </w:p>
    <w:p>
      <w:pPr>
        <w:sectPr>
          <w:pgSz w:w="11900" w:h="16838" w:orient="portrait"/>
          <w:cols w:equalWidth="0" w:num="2">
            <w:col w:w="7420" w:space="720"/>
            <w:col w:w="3000"/>
          </w:cols>
          <w:pgMar w:left="320" w:top="455" w:right="439" w:bottom="1440" w:gutter="0" w:footer="0" w:header="0"/>
          <w:type w:val="continuous"/>
        </w:sect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lawsuits, arbitrations, claims, investigations and proceedings, consisting of intellectual property, commercial, employment and other matters, which arise in the ordinary course of business. The Company makes provisions for liabilities when it is both probable that a liability has been incurred and the amount of the loss can be reasonably estimated.</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litigation and does not have contingency reserves established for any litigation liabilities as of June 30, 2024, and December 31, 2023.</w:t>
      </w:r>
    </w:p>
    <w:p>
      <w:pPr>
        <w:spacing w:after="0" w:line="306"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has 365,000,000 shares of Common Stock authorized for issuance, par value $0.0001 per share, of which 1,053,545 shares issued, net of share repurchased and cancellation, and 1,023,541 shares, net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55" w:right="439" w:bottom="1440" w:gutter="0" w:footer="0" w:header="0"/>
          <w:type w:val="continuous"/>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were outstanding as of June 30, 2024 and December 31, 2023. The Company has reserved 5,881,181 shares of Common Stock for issuance to officers, directors, employees and consultants pursuant to the 2019 Stock Option and Grant Plan. Of the 1,023,541 shares outstanding, 437,389 shares relate to the exercises of stock options, 470,396 shares relate to vesting of RSAs issued under the 2019 Stock Option and Grant Plan, 115,757 shares of Common Stock are held by Biocon Limited and its affiliates (“Biocon”) and were awarded by the Company in 2020 and the remaining balance was issued to an investor.</w:t>
      </w:r>
    </w:p>
    <w:p>
      <w:pPr>
        <w:spacing w:after="0" w:line="328"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December 23, 2020, the Company issued to Biocon 40,000,000 shares of Series Seed Preferred Stock (“Seed Series”) with a par value of $0.0001 per share and purchase price of $1.00 per share, in exchange for net proceeds of $40.0 million. On April 26, 2022, the Company authorized for issuance an additional 50,940,144 shares of Series Seed Preferred Stock with par value of $0.0001 per share and price of $1.00 per share of which 9,990,144 shares were issued to Biocon upon settlement of a related party note payable. On March 2, 2023, the Company reduced the total number of its authorized Series Seed Preferred Stock to 81,790,144.</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March 2022, as part of the first close of the Company’s Series Seed extension financing, the Company entered into several SAFEs, pursuant to which the Company received approximately $5.4 million in exchange for its agreement to issue to certain investors shares of its preferred stock upon the occurrence of the Series Seed extension financing at $1.00 per share. On April 26, 2022, the Company issued 5,350,000 shares of Series Seed Preferred Stock with par value of $0.0001 per share and a $1.00 per share price to settle the $5.4 million in SAFEs, of which 4,000,000 shares of Series Seed Preferred Stock were issued to two investors controlled by a board member, who is also a relative of the Chief Executive Officer, and 350,000 shares of Series Seed Preferred Stock held by relatives of the Chief Executive Officer.</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July 2022, as part of the second close of the Company’s Series Seed extension financing, the Company sold an additional 3,000,000 shares of Series Seed Preferred Stock to the two investors controlled by a board member, who is also a relative of the Chief Executive Officer, referred to above increasing their ownership to 7,000,000 shares of Series Seed Preferred Stock.</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On March 2, 2023, the Company issued 37,073,162 shares of Series B Preferred Stock at a price of $1.025 per share (the “Initial Series B Closing”) for net proceeds of $37.8 million.</w:t>
      </w:r>
    </w:p>
    <w:p>
      <w:pPr>
        <w:spacing w:after="0" w:line="16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was also obligated to sell up to 68,521,939 additional shares (the “Milestone Shares”) of Series B Preferred Stock to the same purchasers at the same purchase price as the Initial Series B Closing the Series B Tranche Rights. The sale of Milestone Shares (the “Milestone Closings”) was contingent upon the Company’s achievement of certain milestones. In addition, if elected by a purchaser, the Company was obligated to sell Milestone Shares prior to achievement of the milestones (the “Voluntary Closings”). The Series B Tranche Rights are considered a freestanding instrument classified as a liability under ASC 480. The initial fair value of the liability was determined to be $0.6 million. Refer to Note 3 Fair Value Measurements to these unaudited condensed consolidated financial statements for further details. Share issuances pursuant to exercise of the Series B Tranche Rights under such Milestone Closings occurred on September 8 and November 3, 2023 in the amounts of 39,024,386 and 29,497,553, respectively, for net proceeds of $69.9 million. Upon completion of the Milestone Closings, such tranche liabilities of $8.0 million and $6.0 million on September 8, 2023 and November 3, 2023, respectively, were settled to redeemable convertible preferred stock on the unaudited condensed consolidated balance sheets. The Voluntary Closings were not exercised by the purchasers in 2023, and this right has expired.</w:t>
      </w:r>
    </w:p>
    <w:p>
      <w:pPr>
        <w:spacing w:after="0" w:line="19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December 6, 2023, the Company issued 119,599,872 shares of Series C Preferred Stock at a price of $1.3796 per share in exchange for aggregate net proceeds of $164.6 million. The Company additionally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executed various side letters where certain purchasers have the right to tender all owned shares back to the Company for an aggregate purchase price of $1.00 (the “Put Option”). The Put Option has no accounting implications as it is considered immaterial.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Series Seed Preferred Stock, Series B Preferred Stock and Series C Preferred Stock are collectively referred to as the “Preferred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2024, the Preferred Stock had the following rights, preferences, and privileges: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Preferred Stock have rights to convert the shares of Preferred Stock into shares of Common Stock (the “Conversion Rights”) at the applicable original issue price (“Conversion Price”) with a conversion ratio (“Conversion Ratio”) of 1:9.2435.</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All outstanding shares of the Preferred Stock shall be converted automatically into shares of Common Stock upon the occurrence of any of the following events: a) the closing of the sale of shares of Common Stock to the public at a price of at least $15.94 per share in a public offering resulting in at least $50.0 of gross proceeds (a “Qualified IPO); b) immediately prior to the closing of a SPAC Transaction (with at least $50.0 million in gross proceeds) or a “reverse merger” with a publicly traded corporation; c) upon the approval of at least 60% of the Series C preferred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Series B and Series C Preferred Stock</w:t>
      </w:r>
      <w:r>
        <w:rPr>
          <w:rFonts w:ascii="Times New Roman" w:cs="Times New Roman" w:eastAsia="Times New Roman" w:hAnsi="Times New Roman"/>
          <w:sz w:val="18"/>
          <w:szCs w:val="18"/>
          <w:color w:val="auto"/>
        </w:rPr>
        <w:t>—In the event of any voluntary or involuntary liquidation, dissolution or winding up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outstanding Series B Preferred Stock and Series C Preferred Stock are entitled to be paid out of the assets of the Company available for distribution to its stockholders and in case of a Deemed Liquidation Event (defined as a merger or consolidation in which the Company is a constituent party, or the sale, lease, transfer, exclusive license or other disposition by the Company of all or substantially all the assets), the holders of the Series B and Series C Preferred Stock shall be entitled to be paid out of the consideration payable to stockholders or out of the available proceeds of the Company, before the Series Seed and common stockholders, an amount per share (the “Liquidation Amount”) equal to the greater of: (a) the applicable original issue price, plus any dividends declared but unpaid, or (b) such amount per share amount as would have been payable on the conversion of all Series B Preferred Stock and Series C Preferred Stock (as applicable) into Common Stock immediately prior to such liquidation, dissolution, winding up or Deemed Liquidation Event. If the amount to be paid as Liquidation Amount is insufficient, then all Series B and Series C preferred stockholders shall share the assets available for distribution in proportion of their shareholding.</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Series Seed Preferred Stock</w:t>
      </w:r>
      <w:r>
        <w:rPr>
          <w:rFonts w:ascii="Times New Roman" w:cs="Times New Roman" w:eastAsia="Times New Roman" w:hAnsi="Times New Roman"/>
          <w:sz w:val="18"/>
          <w:szCs w:val="18"/>
          <w:color w:val="auto"/>
        </w:rPr>
        <w:t>—The Series Seed preferred stockholders shall have priority over the common stockholders, with a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equal to the greater of (a) the Series Seed original issue price, plus any dividends declared but unpaid thereon, or (b) such amount per share as would have been payable on the conversion of all shares of Series Seed Preferred Stock into Common Stock immediately prior to such liquidation, dissolution, winding up or Deemed Liquidation Event. If upon any such liquidation, dissolution or winding up of the Company or Deemed Liquidation Event, and after the payment of all preferential amounts required to be paid to the holders of the Series B Preferred Stock and Series C Preferred Stock, the assets of the Company available for distribution to its stockholders shall be insufficient to pay the holders of shares of Series Seed Preferred Stock the full amount to which they shall be entitled, the holders of shares of Series Seed Preferred Stock shall share ratably in any distribution of the assets available for distribution in proportion to the respective amounts which would otherwise be payable in respect of the shares of Series Seed Preferred Stock held by them upon such distribution if all amounts payable on or with respect to such shares were paid in full.</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Preferred Stock is not redeemable except in the event of a Deemed Liquidation Event. As redemption by the holders is not within the control of the Company, all the outstanding convertible preferred stock is classified as temporary equity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Series B and Series C Preferred Stock</w:t>
      </w:r>
      <w:r>
        <w:rPr>
          <w:rFonts w:ascii="Times New Roman" w:cs="Times New Roman" w:eastAsia="Times New Roman" w:hAnsi="Times New Roman"/>
          <w:sz w:val="18"/>
          <w:szCs w:val="18"/>
          <w:color w:val="auto"/>
        </w:rPr>
        <w:t>—The holders of then outstanding shares of Series B Preferred Stock and Series C Preferred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only when, as and if declared by the Board of Directors of the Company, dividends at the rate of eight percent (8%) of the applicable original issue price for each share of Series B Preferred Stock or Series C Preferred Stock, prior and in preference to any declaration or payment of any other dividend on shares of Series Seed Preferred Stock or Common Stock (other than dividends on shares of Common Stock payable in shares of Common Stock) during the same calendar year. The Company shall not declare, pay or set aside any dividends on shares of any other class or series of capital stock of the Company unless the holders of the Series B Preferred Stock and Series C Preferred Stock then outstanding first receive a dividend on each outstanding share of Series B Preferred Stock or Series C Preferred Stock at the same rate and same time on an as-converted basis. No dividends have been declared or paid as of June 30, 2024.</w:t>
      </w:r>
    </w:p>
    <w:p>
      <w:pPr>
        <w:spacing w:after="0" w:line="185"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Series Seed Preferred Stock </w:t>
      </w:r>
      <w:r>
        <w:rPr>
          <w:rFonts w:ascii="Times New Roman" w:cs="Times New Roman" w:eastAsia="Times New Roman" w:hAnsi="Times New Roman"/>
          <w:sz w:val="18"/>
          <w:szCs w:val="18"/>
          <w:color w:val="auto"/>
        </w:rPr>
        <w:t>– The Company shall not declare, pay or set aside any dividends on shares of Common Stock unless the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Seed Preferred Stock then outstanding shall first receive, or simultaneously receive, a dividend on each outstanding share of Preferred Stock at the same rate and same time on an as-converted basis. No dividends have been declared or paid as of June 30, 2024.</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Preferred Stock have the same voting rights as the holders of the Common Stock, on an as-converted basis. As of June 30, 2024, the board of directors of the Company was comprised of ten members. The election of directors is determined as following:</w:t>
      </w:r>
    </w:p>
    <w:p>
      <w:pPr>
        <w:spacing w:after="0" w:line="67"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Series Seed Preferred Stock, exclusively and as a separate class, shall be entitled to elect one</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the Company</w:t>
      </w:r>
    </w:p>
    <w:p>
      <w:pPr>
        <w:spacing w:after="0" w:line="1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Series B Preferred Stock, exclusively and as a separate class, shall be entitled to elect three</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w:t>
      </w:r>
    </w:p>
    <w:p>
      <w:pPr>
        <w:spacing w:after="0" w:line="1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Series C Preferred Stock, exclusively and as a separate class, shall be entitled to elect one</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the Company</w:t>
      </w:r>
    </w:p>
    <w:p>
      <w:pPr>
        <w:spacing w:after="0" w:line="11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common stock, $0.0001 par value per share, of the Company, exclusively and as a separate class, shall be entitled to elect one (1) director of the Company</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the shares of Common Stock and the Preferred Stock, voting together as a single class on an as converted basis, shall be entitled to elect the balance of the total number of directors of the Company.</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elected as above may be removed without cause by, and only by, the affirmative vote of the holders of the class or series of capital stock entitled to elect such director or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Protective Provisions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any time when shares of Preferred Stock are outstanding, the Company shall not do any of the following without the written consent or affirmative vote of at least 65% of the outstanding Preferred Stock 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including at least one holder of Series C Preferred Stock who does not hold shares of any other class or series of Preferred Stock: 1) liquidate, dissolve or wind-up the business and affairs of the Company, or effect any merger or consolidation or any other Deemed Liquidation Event; 2) amend, alter or repeal any provision of the Certificate of Incorporation or Bylaws of the Company in a manner that adversely affects the powers, preferences or rights of the Preferred Stock; 3) create, issue, or reclassify any capital stock unless the same ranks junior to the Preferred Stock with respect to its rights, preferences and privileges; 4) cause or permit any of its subsidiaries to, without approval of the Board of Directors, sell, issue, sponsor, create or distribute any digital tokens, cryptocurrency or other blockchain-based assets; 5) purchase or redeem or pay or declare any dividend or make any distribution on, any shares of capital stock of the Company other than as expressed with the Preferred Stock agreements; 6) create, issue, or authorize the issuance of any debt security or create any lien or security interest or incur other indebtedness for borrowed money; 7) create, or hold capital stock in, any subsidiary that is not wholly owned by the Company, or permit any subsidiary to create or issue any shares, or sell, transfer or otherwise dispose of any capital stock; 8) create, adopt, amend, terminate or repeal any equity (or equity-linked) compensation plan; or 9) increase or decrease the authorized number of directors constituting the Board of Directors.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protective provisions for certain classes of shares include the following:</w:t>
      </w:r>
    </w:p>
    <w:p>
      <w:pPr>
        <w:spacing w:after="0" w:line="22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Series B Preferred Stock</w:t>
      </w:r>
      <w:r>
        <w:rPr>
          <w:rFonts w:ascii="Times New Roman" w:cs="Times New Roman" w:eastAsia="Times New Roman" w:hAnsi="Times New Roman"/>
          <w:sz w:val="18"/>
          <w:szCs w:val="18"/>
          <w:color w:val="auto"/>
        </w:rPr>
        <w:t>—For so long as at least 52,797,551 shares of Series B Preferred Stock are outstanding, the Company shall not do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without the written consent or affirmative of at least 60% of the Series B holders: a) waive or otherwise forego any adjustment in the Series B Conversion Price; b) create, or authorize the creation of, or issue or obligate itself to issue shares of, or reclassify, any capital stock unless the same ranks junior to the Series B Preferred Stock with respect to its rights, preferences and privileges; or c) amend, modify, change or waive the liquidation amount applicable to the Series B Preferred Stock.</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Series C Preferred Stock</w:t>
      </w:r>
      <w:r>
        <w:rPr>
          <w:rFonts w:ascii="Times New Roman" w:cs="Times New Roman" w:eastAsia="Times New Roman" w:hAnsi="Times New Roman"/>
          <w:sz w:val="18"/>
          <w:szCs w:val="18"/>
          <w:color w:val="auto"/>
        </w:rPr>
        <w:t>—For so long as at least 71,759,924 shares of Series C Preferred Stock are outstanding, the Company shall not do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without the written consent or affirmative of at least 60% of the Series C holders: a) waive or otherwise forego any adjustment in the Series C Conversion Price; b) effect the conversion of the Series C Preferred Stock to Common Stock in a Qualified IPO; c) create, or authorize the creation of, or issue or obligate itself to issue shares of, or reclassify, any capital stock unless the same ranks junior to the Series C Preferred Stock with respect to its rights, preferences and privileges; or d) amend, modify, change or waive the liquidation amount applicable to the Series C Preferred Stock.</w:t>
      </w:r>
    </w:p>
    <w:p>
      <w:pPr>
        <w:spacing w:after="0" w:line="330" w:lineRule="exact"/>
        <w:rPr>
          <w:sz w:val="20"/>
          <w:szCs w:val="20"/>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Grant Plan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2019, the board of directors adopted, and the Company’s shareholders approved, the 2019 Stock Option and Grant Plan (the “2019 Plan”) under which the Company may grant equity-based incentive awards to the Company’s employees, officers, directors, consultants and other key persons of the Company and its affiliates upon whose judgement, initiative, and efforts the Company largely depends for the successful conduct of its business.</w:t>
      </w:r>
    </w:p>
    <w:p>
      <w:pPr>
        <w:spacing w:after="0" w:line="81" w:lineRule="exact"/>
        <w:rPr>
          <w:sz w:val="20"/>
          <w:szCs w:val="20"/>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awards that are authorized to be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including Incentive Stock Options (“ISO”) or Non-Qualified Stock Options (“NQSO”);</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(“RSA”);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Stock Awards (“URSA”);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(“RSU”)</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2019 Plan, as amended, the Company is authorized to issue up to 5,881,181 shares of Common Stock. Through June 30, 2024, the Company has issued RSAs, ISOs and NQSOs under the 2019 Plan. The terms of equity award agreements, including vesting requirements, were determined by the board of directors and are subject to the provisions of the 2019 Plan. Equity awards granted to employees and non-employees generally vest over a four-year period but may be granted with different vesting terms. Certain options provide for early vesting.</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RSAs were issued under individual RSA agreements (the “Award Agreements”). The Award Agreements dictate vesting terms and once vested, the recipients’ restricted stock may not be sold, assigned, transferred, pledged or otherwise encumbered or disposed of except as specifically provided in the respective Award Agreement.</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and non-employees expire no more than 10 years from the date of grant and are generally service based. A limited number of awards contain performance-based vesting criteria and for such awards that are deemed probable of vesting, the Company records expense in the period in which such determination is made through any estimated remaining vested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measured at the grant date based on the fair value of the award, is typically recognized ratably over the requisite service period, using the straight-line method of expense attribution. When utilizing the Black-Scholes option-pricing model to determine the grant date fair value of stock options granted to employees or non-employees, we used the following weighted average assumptions: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92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 4.7%</w:t>
            </w: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 4.0%</w:t>
            </w:r>
          </w:p>
        </w:tc>
        <w:tc>
          <w:tcPr>
            <w:tcW w:w="2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7"/>
              </w:rPr>
              <w:t>85.9% – 86.0%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 – 83.2%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5.45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$ 3.79 – $4.44</w:t>
            </w:r>
          </w:p>
        </w:tc>
      </w:tr>
    </w:tbl>
    <w:p>
      <w:pPr>
        <w:spacing w:after="0" w:line="19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for non-employees and employees in its statements of operations as follows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24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60" w:type="dxa"/>
            <w:vAlign w:val="bottom"/>
          </w:tcPr>
          <w:p>
            <w:pPr>
              <w:spacing w:after="0"/>
              <w:rPr>
                <w:sz w:val="12"/>
                <w:szCs w:val="12"/>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36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r>
      <w:tr>
        <w:trPr>
          <w:trHeight w:val="20"/>
        </w:trPr>
        <w:tc>
          <w:tcPr>
            <w:tcW w:w="36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5320" w:type="dxa"/>
            <w:vAlign w:val="bottom"/>
            <w:gridSpan w:val="2"/>
          </w:tcPr>
          <w:p>
            <w:pPr>
              <w:jc w:val="right"/>
              <w:ind w:right="3202"/>
              <w:spacing w:after="0"/>
              <w:rPr>
                <w:sz w:val="20"/>
                <w:szCs w:val="20"/>
                <w:color w:val="auto"/>
              </w:rPr>
            </w:pPr>
            <w:r>
              <w:rPr>
                <w:rFonts w:ascii="Times New Roman" w:cs="Times New Roman" w:eastAsia="Times New Roman" w:hAnsi="Times New Roman"/>
                <w:sz w:val="18"/>
                <w:szCs w:val="18"/>
                <w:color w:val="auto"/>
              </w:rPr>
              <w:t>F-43</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RSA award activity for non-employees and employees of the Company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8320" w:type="dxa"/>
            <w:vAlign w:val="bottom"/>
          </w:tcPr>
          <w:p>
            <w:pPr>
              <w:spacing w:after="0"/>
              <w:rPr>
                <w:sz w:val="15"/>
                <w:szCs w:val="15"/>
                <w:color w:val="auto"/>
              </w:rPr>
            </w:pPr>
          </w:p>
        </w:tc>
        <w:tc>
          <w:tcPr>
            <w:tcW w:w="150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(33,193)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75"/>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14,006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costs of $0.1 million related to unvested stock-based compensation arrangements are expected to be recognized as expense over a weighted average period of 0.4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options award activity for non-employees and employees of the Company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54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40" w:type="dxa"/>
            <w:vAlign w:val="bottom"/>
            <w:gridSpan w:val="3"/>
            <w:vMerge w:val="continue"/>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4,850,669</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7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238,005</w:t>
            </w:r>
          </w:p>
        </w:tc>
        <w:tc>
          <w:tcPr>
            <w:tcW w:w="10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5.45</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(349,962)</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3.88</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(117,503)</w:t>
            </w:r>
          </w:p>
        </w:tc>
        <w:tc>
          <w:tcPr>
            <w:tcW w:w="10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3.97</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4,621,209</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4.62</w:t>
            </w: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21,252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4.62</w:t>
            </w:r>
          </w:p>
        </w:tc>
        <w:tc>
          <w:tcPr>
            <w:tcW w:w="16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8.7</w:t>
            </w:r>
          </w:p>
        </w:tc>
        <w:tc>
          <w:tcPr>
            <w:tcW w:w="5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623,361</w:t>
            </w:r>
          </w:p>
        </w:tc>
        <w:tc>
          <w:tcPr>
            <w:tcW w:w="7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and expected to vest as of June 30, 2024</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4,621,209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82"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values is calculated as the difference between the exercise price of the underlying options and the fair value of the Company’s common stock on June 30, 2024 for the options that were in the money.</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fair value of options granted during the six months ended June 30, 2024 and 2023, was $3.97 and $2.77, respectively.</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had 3,997,901 unvested stock options outstanding as of June 30, 2024. As of June 30, 2024, total unrecognized compensation costs of $13.5 million related to unvested stock options are expected to be recognized as expense over a weighted average period of 3.2 years.</w:t>
      </w:r>
    </w:p>
    <w:p>
      <w:pPr>
        <w:spacing w:after="0" w:line="306"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losses incurred since inception and the uncertainty surrounding the realization of the favorable tax attributes in future tax returns, the Company has recorded a full valuation allowance against the Company’s otherwise recognizable net deferred tax assets.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Agreements—Related Parties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entered into a master services agreement on December 15, 2020 (the “Master Services Agreement”) with Biocon. Pursuant to the terms of the master service agreement, Biocon provided services related to research and development, clinical trials, regulatory interactions and manufacturing. The Company did not incur any expenses under the Master Services Agreement during the six months ended June 30, 2024 and 2023. As of June 30, 2024 and December 31, 2023, the Company owed $0 million and $1.6 million, respectively, which were classified in accrued expenses-related party on the balance sheets.</w:t>
      </w:r>
    </w:p>
    <w:p>
      <w:pPr>
        <w:spacing w:after="0" w:line="18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July 23, 2019, the Company entered into a manufacturing agreement with a wholly-owned subsidiary of Biocon, Biocon Biologics Limited (“BBL”) formerly Biocon Biologics India Limited, which is valid for 5 years unless earlier terminated by one of the parties. Additionally, the Company entered into a material transfer agreement on August 17, 2023, a quality agreement on October 12, 2023, a service agreement on October 18, 2023 and a manufacturing agreement on December 15, 2023 (the “BBL Agreements”). Pursuant to the terms of the BBL Agreements, BBL manufactures and supplies specified quantities of products to Bicara to be utilized in research and development and manufacturing as per purchase orders executed from time to time between the two parties. For the six months ended June 30, 2024 and 2023, the Company incurred $0.7 million and $0.1 million research and development expenses, respectively, under the BBL Agreements. As of June 30, 2024, and December 31, 2023, the Company owed $0.7 million and $0 million, respectively, which were classified in accrued expenses-related party on the balance sheets.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additionally entered into a manufacturing agreement with a wholly-owned subsidiary of Biocon, Syngene International Limited (“Syngene”), on July 17, 2019, as amended on May 18, 2022 and on August 1, 2022, along with a master contract services agreement on July 24, 2020 (the “Syngene Agreements”). Pursuant to the terms of the Syngene Agreements, Syngene manufactures and supplies specified quantities of products to Bicara to be used in research and development as per purchase orders executed from time to time between the two parties and performs additional contract research services under the master contract services agreement. The manufacturing agreement is valid for 6 years unless earlier terminated by one of the parties, while the master contract services agreement carried a term of 2 years. For the six months ended June 30, 2024 and 2023 the Company incurred $4.3 million and $4.2 million of research and development expenses, respectively, under the Syngene Agreements. As of June 30, 2024, and December 31, 2023, the Company owed $2.7 million and $2.9 million, respectively, relating to these incurred costs, of which $1.3 million and $1.0 million, respectively, were classified in accounts payable-related party and $1.4 million and $1.9, respectively, were classified in accrued expenses-related party on the balance sheets.</w:t>
      </w:r>
    </w:p>
    <w:p>
      <w:pPr>
        <w:spacing w:after="0" w:line="19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1, 2021, the Company entered into a master service agreement with a wholly-owned subsidiary of Biocon, Biofusion Therapeutics Limited (“Biofusion”) (the “Biofusion Agreement”), which was terminated upon acquisition of Biofusion by Sygnene on August 2, 2022. Pursuant to the terms of the Biofusion Agreement, Biofusion provided research and development services. As of December 31, 2022, the Company owed $7.7 million in connection with services provided by Biofusion, which were classified in accrued expenses-related party on the balance sheet, of which $4.1 million were incurred in 2022. The Company paid the full amount on March 21, 2023.</w:t>
      </w:r>
    </w:p>
    <w:p>
      <w:pPr>
        <w:spacing w:after="0" w:line="18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full recourse promissory note (the “Promissory Note”) with our Chief Financial Officer (“CFO”), pursuant to which the Company loaned $274 thousand, plus interest accruing at rate of 0.86% per annum (or if higher, the applicable federal rate as of the date of the Promissory Note), due by the earliest to occur of (i) December 31, 2025, (ii) the date of certain transfers of the collateral pledged under the Promissory Note, (iii) upon the day prior to the date a change in the Company’s or the CFO’s status would cause the loan to be deemed prohibited under applicable law, (iv) upon the date prior to the Company’s filing of a registration statement for an initial public offering or a change of control,</w:t>
      </w:r>
    </w:p>
    <w:p>
      <w:pPr>
        <w:spacing w:after="0" w:line="3" w:lineRule="exact"/>
        <w:rPr>
          <w:sz w:val="20"/>
          <w:szCs w:val="20"/>
          <w:color w:val="auto"/>
        </w:rPr>
      </w:pPr>
    </w:p>
    <w:p>
      <w:pPr>
        <w:ind w:left="5460" w:right="2620" w:hanging="5344"/>
        <w:spacing w:after="0" w:line="433" w:lineRule="auto"/>
        <w:tabs>
          <w:tab w:leader="none" w:pos="37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acceleration of the Promissory Note in accordance with its terms or (vi) the date three months following the F-45</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CFO’s termination of employment with the Company. As part of the Promissory Note, the CFO pledged 66,676 shares of restricted Common Stock as collateral under the terms of a security agreement. There has been immaterial interest income from the Promissory Note. The CFO repaid the full amount in June 2024. As of December 31, 2023, the Company recorded $68 thousand within prepaid expenses and other assets, and $68 thousand within other assets on the balance sheet.</w:t>
      </w:r>
    </w:p>
    <w:p>
      <w:pPr>
        <w:spacing w:after="0" w:line="324"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15, 2019, the Company entered into a master clinical contract services agreement with IQVIA RDS Inc (“IQVIA), which was amended in December 2023 to include global clinical trials Pursuant to the terms of the agreement, as amended, IQVIA will provide the Company with certain global clinical-development related services and laboratory services under separately executed statements of work (“SOWs”). In June 2021, the Company entered into an SOW with IQVIA for lab and clinical development services, to be invoiced on a monthly basis based on work performed by IQVIA. Under this SOW, Bicara agreed to provide IQVIA with an initial upfront payment of $1.8 million, of which $1.0 million was a refundable deposit and $0.8 million for investigator grant payment in advance. In December 2022, Bicara entered into an authorized to proceed agreement (“ATP”) with IQVIA. Under the ATP, Bicara agreed to provide IQVIA with an additional refundable deposit of $0.9 million, which was paid in March 2023. Both the initial deposit and the ATP deposit will be held on account and reconciled against final invoices. As of December 31, 2023, the refundable deposit balance was $1.9 million. For the six months ended June 30, 2024 and 2023 the Company incurred $6.2 million and $3.2 million in expenses, respectively and paid $9.8 million and $5.3 million, respectively, to IQVIA. As of June 30, 2024 and December 31, 2023, the Company had $0 million and $1.6 million classified in accounts payable, respectively and $2.8 million and $4.7 million classified in accrued expenses and other current liabilities on the balance sheets.</w:t>
      </w:r>
    </w:p>
    <w:p>
      <w:pPr>
        <w:spacing w:after="0" w:line="334" w:lineRule="exact"/>
        <w:rPr>
          <w:sz w:val="20"/>
          <w:szCs w:val="20"/>
          <w:color w:val="auto"/>
        </w:rPr>
      </w:pPr>
    </w:p>
    <w:p>
      <w:pPr>
        <w:ind w:left="540" w:hanging="424"/>
        <w:spacing w:after="0"/>
        <w:tabs>
          <w:tab w:leader="none" w:pos="54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August 2024, the Company amended the 2019 Plan. Under the 2019 Plan, as amended, the Company is authorized to issue up to 81,862,703 shares of Common Stock and granted 3.2 million stock options to its employees and new members of the board of directors, of which 2.9 million contained service and performance conditions contingent on the successful completion of the Company’s initial public offering by December 31, 2024, after which the options would be forfeited, and 0.3 million stock options contained only service conditions. The preliminary grant date fair value for these stock options was $7.12 and all stock options vest over a four-year period.</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the performance condition of a successful initial public offering by December 31, 2024 must be met for 2.9 million of the stock options to vest, compensation cost will not be recognized until it is probable that such performance condition will be achieved and must be reevaluated each reporting period. The unrecognized stock-based compensation expense related to the 2.9 million stock options is approximately $20.8 million and it is expected to be recognized as an expense over four year vesting period after it is probable that the performance condition will be achieved.</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0.3 million stock options that contain only service conditions, the unrecognized stock-based compensation expense is approximately $2.2 million, and it is expected to be recognized as an expense over four years beginning in the third quarter of 2024.</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amended its certificate of incorporation in August 2024. As amended, the Company has the authority to issue 392,500,000 shares of Common Stock, $0.0001 par value per share and 306,985,117 shares of Preferred Stock, $0.0001 par value per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i w:val="1"/>
          <w:iCs w:val="1"/>
          <w:color w:val="auto"/>
        </w:rPr>
        <w:t>14,705,882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182245</wp:posOffset>
            </wp:positionV>
            <wp:extent cx="2880360" cy="8489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803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PRELIMINARY PROSPECTUS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i w:val="1"/>
          <w:iCs w:val="1"/>
          <w:color w:val="auto"/>
        </w:rPr>
        <w:t>Morgan Stanley</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i w:val="1"/>
          <w:iCs w:val="1"/>
          <w:color w:val="auto"/>
        </w:rPr>
        <w:t>TD Cowen</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i w:val="1"/>
          <w:iCs w:val="1"/>
          <w:color w:val="auto"/>
        </w:rPr>
        <w:t>Cantor</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i w:val="1"/>
          <w:iCs w:val="1"/>
          <w:color w:val="auto"/>
        </w:rPr>
        <w:t>Stifel</w:t>
      </w:r>
    </w:p>
    <w:p>
      <w:pPr>
        <w:spacing w:after="0" w:line="200" w:lineRule="exact"/>
        <w:rPr>
          <w:sz w:val="20"/>
          <w:szCs w:val="20"/>
          <w:color w:val="auto"/>
        </w:rPr>
      </w:pPr>
    </w:p>
    <w:p>
      <w:pPr>
        <w:spacing w:after="0" w:line="248"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Until       , 2024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         , 2024</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fees and expenses, other than underwriting discounts and commissions, payable in connection with the registration of the common stock hereunder. All amounts are estimates except for the SEC registration fee, the Financial Industry Regulatory Authority, Inc., or FINRA, filing fee and The Nasdaq Global Market, or Nasdaq, listing fee.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10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46,162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mailing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r>
      <w:tr>
        <w:trPr>
          <w:trHeight w:val="27"/>
        </w:trPr>
        <w:tc>
          <w:tcPr>
            <w:tcW w:w="10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4,131,094</w:t>
            </w:r>
          </w:p>
        </w:tc>
      </w:tr>
      <w:tr>
        <w:trPr>
          <w:trHeight w:val="20"/>
        </w:trPr>
        <w:tc>
          <w:tcPr>
            <w:tcW w:w="10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adopt provisions in our certificate of incorporation to be in effect immediately prior to the closing of this offering and bylaws to be in effect upon the effectiveness of this registration statement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a director or officer, except for liability for:</w:t>
      </w:r>
    </w:p>
    <w:p>
      <w:pPr>
        <w:spacing w:after="0" w:line="85" w:lineRule="exact"/>
        <w:rPr>
          <w:sz w:val="20"/>
          <w:szCs w:val="20"/>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any unlawful payments related to dividends or unlawful stock purchases, redemptions or other distributions;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derivative action by or in the right of the corporation.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and officer liability under the federal securities laws and do not affect the availability of equitable remedies such as an injunction or rescission.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31" w:lineRule="exact"/>
        <w:rPr>
          <w:sz w:val="20"/>
          <w:szCs w:val="20"/>
          <w:color w:val="auto"/>
        </w:rPr>
      </w:pPr>
    </w:p>
    <w:p>
      <w:pPr>
        <w:ind w:left="1080" w:right="20" w:hanging="532"/>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three years preceding the filing of this registration statement, we have issued the following securities that were not registered under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w:t>
      </w:r>
    </w:p>
    <w:p>
      <w:pPr>
        <w:spacing w:after="0" w:line="230" w:lineRule="exact"/>
        <w:rPr>
          <w:sz w:val="20"/>
          <w:szCs w:val="20"/>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Issuances of Capital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information regarding securities we have issued within the past three years that were not registered under the Securities Act.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December 2020, April 2022, July 2022, and September 2022, we issued and sold an aggregate of 81,790,144 shares of Series Seed redeemable convertible preferred stock at a purchase price of $1.00 per share for an aggregate purchase price of approximately $81.8 million.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March 2023, September 2023, and November 2023, we issued and sold an aggregate of 105,595,101 shares of Series B redeemable convertible preferred stock at a purchase price of $1.025 per share for an aggregate purchase price of approximately $108 million (including $70.2 million of Milestone closings).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December 2023, we issued and sold an aggregate of 119,599,872 shares of Series C redeemable convertible preferred stock at a purchase price of $1.3796 per share for an aggregate purchase price of approximately $165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No underwriters were involved in the foregoing sales of securities. Unless otherwise stated,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333" w:lineRule="exact"/>
        <w:rPr>
          <w:sz w:val="20"/>
          <w:szCs w:val="20"/>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Grants and Exercises of Stock Options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Since May 31, 2021, we have granted stock options to purchase an aggregate of 8,437,429 shares of our common stock, with a weighted average exercise price of $6.37 per share, to employees, directors and consultants pursuant to the 2019 Plan. Since May 31, 2021, 437,660 shares of common stock have been issued upon the exercise of stock options pursuant to the 2019 Plan. Since May 31, 2021, 249,823 stock options previously issued pursuant to the 2019 Plan have been cancelled and forfeited.</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52" w:lineRule="exact"/>
        <w:rPr>
          <w:sz w:val="20"/>
          <w:szCs w:val="20"/>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340" w:type="dxa"/>
            <w:vAlign w:val="bottom"/>
            <w:gridSpan w:val="8"/>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68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82">
              <w:r>
                <w:rPr>
                  <w:rFonts w:ascii="Times New Roman" w:cs="Times New Roman" w:eastAsia="Times New Roman" w:hAnsi="Times New Roman"/>
                  <w:sz w:val="18"/>
                  <w:szCs w:val="18"/>
                  <w:color w:val="0000EE"/>
                  <w:w w:val="98"/>
                </w:rPr>
                <w:t>Form of Underwriting Agreement.</w:t>
              </w:r>
            </w:hyperlink>
          </w:p>
        </w:tc>
        <w:tc>
          <w:tcPr>
            <w:tcW w:w="6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680" w:type="dxa"/>
            <w:vAlign w:val="bottom"/>
          </w:tcPr>
          <w:p>
            <w:pPr>
              <w:spacing w:after="0"/>
              <w:rPr>
                <w:sz w:val="24"/>
                <w:szCs w:val="24"/>
                <w:color w:val="auto"/>
              </w:rPr>
            </w:pPr>
          </w:p>
        </w:tc>
        <w:tc>
          <w:tcPr>
            <w:tcW w:w="67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Fourth Amended and Restated Certificate of Incorporation, as amended, as currently in effect.</w:t>
              </w:r>
            </w:hyperlink>
          </w:p>
        </w:tc>
        <w:tc>
          <w:tcPr>
            <w:tcW w:w="27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680" w:type="dxa"/>
            <w:vAlign w:val="bottom"/>
          </w:tcPr>
          <w:p>
            <w:pPr>
              <w:spacing w:after="0"/>
              <w:rPr>
                <w:sz w:val="24"/>
                <w:szCs w:val="24"/>
                <w:color w:val="auto"/>
              </w:rPr>
            </w:pPr>
          </w:p>
        </w:tc>
        <w:tc>
          <w:tcPr>
            <w:tcW w:w="82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84">
              <w:r>
                <w:rPr>
                  <w:rFonts w:ascii="Times New Roman" w:cs="Times New Roman" w:eastAsia="Times New Roman" w:hAnsi="Times New Roman"/>
                  <w:sz w:val="18"/>
                  <w:szCs w:val="18"/>
                  <w:color w:val="0000EE"/>
                  <w:w w:val="99"/>
                </w:rPr>
                <w:t>Form of Fifth Amended and Restated Certificate of Incorporation, to be in effect upon completion of this offering.</w:t>
              </w:r>
            </w:hyperlink>
          </w:p>
        </w:tc>
        <w:tc>
          <w:tcPr>
            <w:tcW w:w="1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68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Bylaws of Registrant, as currently in effect.</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68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Form of Amended and Restated Bylaws of Registrant, to be in effect upon the effectiveness of this registration statement.</w:t>
              </w:r>
            </w:hyperlink>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680" w:type="dxa"/>
            <w:vAlign w:val="bottom"/>
          </w:tcPr>
          <w:p>
            <w:pPr>
              <w:spacing w:after="0"/>
              <w:rPr>
                <w:sz w:val="24"/>
                <w:szCs w:val="24"/>
                <w:color w:val="auto"/>
              </w:rPr>
            </w:pPr>
          </w:p>
        </w:tc>
        <w:tc>
          <w:tcPr>
            <w:tcW w:w="27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387">
              <w:r>
                <w:rPr>
                  <w:rFonts w:ascii="Times New Roman" w:cs="Times New Roman" w:eastAsia="Times New Roman" w:hAnsi="Times New Roman"/>
                  <w:sz w:val="18"/>
                  <w:szCs w:val="18"/>
                  <w:color w:val="0000EE"/>
                  <w:w w:val="98"/>
                </w:rPr>
                <w:t>Specimen Common Stock Certificate.</w:t>
              </w:r>
            </w:hyperlink>
          </w:p>
        </w:tc>
        <w:tc>
          <w:tcPr>
            <w:tcW w:w="6000" w:type="dxa"/>
            <w:vAlign w:val="bottom"/>
            <w:tcBorders>
              <w:top w:val="single" w:sz="8" w:color="0000EE"/>
            </w:tcBorders>
            <w:gridSpan w:val="8"/>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68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88">
              <w:r>
                <w:rPr>
                  <w:rFonts w:ascii="Times New Roman" w:cs="Times New Roman" w:eastAsia="Times New Roman" w:hAnsi="Times New Roman"/>
                  <w:sz w:val="18"/>
                  <w:szCs w:val="18"/>
                  <w:color w:val="0000EE"/>
                  <w:w w:val="99"/>
                </w:rPr>
                <w:t>Amended and Restated Investors’ Rights Agreement among the Registrant and certain of its stockholders, dated December 6, 2023.</w:t>
              </w:r>
            </w:hyperlink>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6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24"/>
                <w:szCs w:val="24"/>
                <w:color w:val="auto"/>
              </w:rPr>
            </w:pPr>
          </w:p>
        </w:tc>
        <w:tc>
          <w:tcPr>
            <w:tcW w:w="9460" w:type="dxa"/>
            <w:vAlign w:val="bottom"/>
            <w:gridSpan w:val="12"/>
          </w:tcPr>
          <w:p>
            <w:pPr>
              <w:spacing w:after="0"/>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2019 Stock Option and Grant Plan, as amended, and form of award agreements thereunder.</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40" w:type="dxa"/>
            <w:vAlign w:val="bottom"/>
            <w:gridSpan w:val="7"/>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680" w:type="dxa"/>
            <w:vAlign w:val="bottom"/>
          </w:tcPr>
          <w:p>
            <w:pPr>
              <w:spacing w:after="0"/>
              <w:rPr>
                <w:sz w:val="24"/>
                <w:szCs w:val="24"/>
                <w:color w:val="auto"/>
              </w:rPr>
            </w:pPr>
          </w:p>
        </w:tc>
        <w:tc>
          <w:tcPr>
            <w:tcW w:w="73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90">
              <w:r>
                <w:rPr>
                  <w:rFonts w:ascii="Times New Roman" w:cs="Times New Roman" w:eastAsia="Times New Roman" w:hAnsi="Times New Roman"/>
                  <w:sz w:val="18"/>
                  <w:szCs w:val="18"/>
                  <w:color w:val="0000EE"/>
                  <w:w w:val="99"/>
                </w:rPr>
                <w:t>Bicara Therapeutics Inc. 2024 Stock Option and Grant Plan and form of award agreements thereunder.</w:t>
              </w:r>
            </w:hyperlink>
          </w:p>
        </w:tc>
        <w:tc>
          <w:tcPr>
            <w:tcW w:w="20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40" w:type="dxa"/>
            <w:vAlign w:val="bottom"/>
            <w:gridSpan w:val="8"/>
          </w:tcPr>
          <w:p>
            <w:pPr>
              <w:ind w:left="102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4"/>
                <w:szCs w:val="24"/>
                <w:color w:val="auto"/>
              </w:rPr>
            </w:pPr>
          </w:p>
        </w:tc>
        <w:tc>
          <w:tcPr>
            <w:tcW w:w="4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92">
              <w:r>
                <w:rPr>
                  <w:rFonts w:ascii="Times New Roman" w:cs="Times New Roman" w:eastAsia="Times New Roman" w:hAnsi="Times New Roman"/>
                  <w:sz w:val="18"/>
                  <w:szCs w:val="18"/>
                  <w:color w:val="0000EE"/>
                  <w:w w:val="99"/>
                </w:rPr>
                <w:t>Bicara Therapeutics Inc. 2024 Employee Stock Purchase Plan.</w:t>
              </w:r>
            </w:hyperlink>
          </w:p>
        </w:tc>
        <w:tc>
          <w:tcPr>
            <w:tcW w:w="4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8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93">
              <w:r>
                <w:rPr>
                  <w:rFonts w:ascii="Times New Roman" w:cs="Times New Roman" w:eastAsia="Times New Roman" w:hAnsi="Times New Roman"/>
                  <w:sz w:val="18"/>
                  <w:szCs w:val="18"/>
                  <w:color w:val="0000EE"/>
                  <w:w w:val="99"/>
                </w:rPr>
                <w:t>Form of Indemnification Agreement by and between the Registrant and each of its directors and executive officers.</w:t>
              </w:r>
            </w:hyperlink>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4"/>
                <w:szCs w:val="24"/>
                <w:color w:val="auto"/>
              </w:rPr>
            </w:pPr>
          </w:p>
        </w:tc>
        <w:tc>
          <w:tcPr>
            <w:tcW w:w="28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394">
              <w:r>
                <w:rPr>
                  <w:rFonts w:ascii="Times New Roman" w:cs="Times New Roman" w:eastAsia="Times New Roman" w:hAnsi="Times New Roman"/>
                  <w:sz w:val="18"/>
                  <w:szCs w:val="18"/>
                  <w:color w:val="0000EE"/>
                  <w:w w:val="99"/>
                </w:rPr>
                <w:t>Senior Executive Incentive Bonus Plan.</w:t>
              </w:r>
            </w:hyperlink>
          </w:p>
        </w:tc>
        <w:tc>
          <w:tcPr>
            <w:tcW w:w="60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w:t>
            </w:r>
          </w:p>
        </w:tc>
        <w:tc>
          <w:tcPr>
            <w:tcW w:w="8940" w:type="dxa"/>
            <w:vAlign w:val="bottom"/>
            <w:gridSpan w:val="16"/>
          </w:tcPr>
          <w:p>
            <w:pPr>
              <w:spacing w:after="0"/>
              <w:rPr>
                <w:rFonts w:ascii="Times New Roman" w:cs="Times New Roman" w:eastAsia="Times New Roman" w:hAnsi="Times New Roman"/>
                <w:sz w:val="18"/>
                <w:szCs w:val="18"/>
                <w:color w:val="0000EE"/>
              </w:rPr>
            </w:pPr>
            <w:hyperlink r:id="rId395">
              <w:r>
                <w:rPr>
                  <w:rFonts w:ascii="Times New Roman" w:cs="Times New Roman" w:eastAsia="Times New Roman" w:hAnsi="Times New Roman"/>
                  <w:sz w:val="18"/>
                  <w:szCs w:val="18"/>
                  <w:color w:val="0000EE"/>
                </w:rPr>
                <w:t>Form of Executive Employment Agreement.</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tcPr>
          <w:p>
            <w:pPr>
              <w:spacing w:after="0"/>
              <w:rPr>
                <w:sz w:val="24"/>
                <w:szCs w:val="24"/>
                <w:color w:val="auto"/>
              </w:rPr>
            </w:pPr>
          </w:p>
        </w:tc>
        <w:tc>
          <w:tcPr>
            <w:tcW w:w="33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396">
              <w:r>
                <w:rPr>
                  <w:rFonts w:ascii="Times New Roman" w:cs="Times New Roman" w:eastAsia="Times New Roman" w:hAnsi="Times New Roman"/>
                  <w:sz w:val="18"/>
                  <w:szCs w:val="18"/>
                  <w:color w:val="0000EE"/>
                  <w:w w:val="98"/>
                </w:rPr>
                <w:t>Non-Employee Director Compensation Policy.</w:t>
              </w:r>
            </w:hyperlink>
          </w:p>
        </w:tc>
        <w:tc>
          <w:tcPr>
            <w:tcW w:w="5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spacing w:after="0"/>
              <w:rPr>
                <w:sz w:val="24"/>
                <w:szCs w:val="24"/>
                <w:color w:val="auto"/>
              </w:rPr>
            </w:pPr>
          </w:p>
        </w:tc>
        <w:tc>
          <w:tcPr>
            <w:tcW w:w="23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97">
              <w:r>
                <w:rPr>
                  <w:rFonts w:ascii="Times New Roman" w:cs="Times New Roman" w:eastAsia="Times New Roman" w:hAnsi="Times New Roman"/>
                  <w:sz w:val="18"/>
                  <w:szCs w:val="18"/>
                  <w:color w:val="0000EE"/>
                  <w:w w:val="98"/>
                </w:rPr>
                <w:t>Compensation Clawback Policy.</w:t>
              </w:r>
            </w:hyperlink>
          </w:p>
        </w:tc>
        <w:tc>
          <w:tcPr>
            <w:tcW w:w="6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10.9†+*</w:t>
            </w:r>
          </w:p>
        </w:tc>
        <w:tc>
          <w:tcPr>
            <w:tcW w:w="8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98">
              <w:r>
                <w:rPr>
                  <w:rFonts w:ascii="Times New Roman" w:cs="Times New Roman" w:eastAsia="Times New Roman" w:hAnsi="Times New Roman"/>
                  <w:sz w:val="18"/>
                  <w:szCs w:val="18"/>
                  <w:color w:val="0000EE"/>
                  <w:w w:val="99"/>
                </w:rPr>
                <w:t>Contract Transfer and License Agreement, by and between the Registrant and Biocon Limited, dated October 1, 2019.</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8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99">
              <w:r>
                <w:rPr>
                  <w:rFonts w:ascii="Times New Roman" w:cs="Times New Roman" w:eastAsia="Times New Roman" w:hAnsi="Times New Roman"/>
                  <w:sz w:val="18"/>
                  <w:szCs w:val="18"/>
                  <w:color w:val="0000EE"/>
                  <w:w w:val="99"/>
                </w:rPr>
                <w:t>Clinical Trial Collaboration and Supply Agreement, by and between the Registrant and MSD International GmbH and MSD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40" w:type="dxa"/>
            <w:vAlign w:val="bottom"/>
            <w:gridSpan w:val="16"/>
          </w:tcPr>
          <w:p>
            <w:pPr>
              <w:spacing w:after="0" w:line="196" w:lineRule="exact"/>
              <w:rPr>
                <w:rFonts w:ascii="Times New Roman" w:cs="Times New Roman" w:eastAsia="Times New Roman" w:hAnsi="Times New Roman"/>
                <w:sz w:val="18"/>
                <w:szCs w:val="18"/>
                <w:color w:val="0000EE"/>
              </w:rPr>
            </w:pPr>
            <w:hyperlink r:id="rId399">
              <w:r>
                <w:rPr>
                  <w:rFonts w:ascii="Times New Roman" w:cs="Times New Roman" w:eastAsia="Times New Roman" w:hAnsi="Times New Roman"/>
                  <w:sz w:val="18"/>
                  <w:szCs w:val="18"/>
                  <w:color w:val="0000EE"/>
                </w:rPr>
                <w:t>International Business GmbH, dated May 19, 2022.</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color w:val="0000EE"/>
                </w:rPr>
                <w:t>Office Lease Agreement, dated August 16, 2023.</w:t>
              </w:r>
            </w:hyperlink>
          </w:p>
        </w:tc>
        <w:tc>
          <w:tcPr>
            <w:tcW w:w="5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spacing w:after="0"/>
              <w:rPr>
                <w:sz w:val="24"/>
                <w:szCs w:val="24"/>
                <w:color w:val="auto"/>
              </w:rPr>
            </w:pPr>
          </w:p>
        </w:tc>
        <w:tc>
          <w:tcPr>
            <w:tcW w:w="21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401">
              <w:r>
                <w:rPr>
                  <w:rFonts w:ascii="Times New Roman" w:cs="Times New Roman" w:eastAsia="Times New Roman" w:hAnsi="Times New Roman"/>
                  <w:sz w:val="18"/>
                  <w:szCs w:val="18"/>
                  <w:color w:val="0000EE"/>
                  <w:w w:val="98"/>
                </w:rPr>
                <w:t>Subsidiaries of the Registrant.</w:t>
              </w:r>
            </w:hyperlink>
          </w:p>
        </w:tc>
        <w:tc>
          <w:tcPr>
            <w:tcW w:w="1360" w:type="dxa"/>
            <w:vAlign w:val="bottom"/>
            <w:tcBorders>
              <w:top w:val="single" w:sz="8" w:color="0000EE"/>
            </w:tcBorders>
            <w:gridSpan w:val="6"/>
          </w:tcPr>
          <w:p>
            <w:pPr>
              <w:spacing w:after="0"/>
              <w:rPr>
                <w:sz w:val="24"/>
                <w:szCs w:val="24"/>
                <w:color w:val="auto"/>
              </w:rPr>
            </w:pPr>
          </w:p>
        </w:tc>
        <w:tc>
          <w:tcPr>
            <w:tcW w:w="5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spacing w:after="0"/>
              <w:rPr>
                <w:sz w:val="24"/>
                <w:szCs w:val="24"/>
                <w:color w:val="auto"/>
              </w:rPr>
            </w:pPr>
          </w:p>
        </w:tc>
        <w:tc>
          <w:tcPr>
            <w:tcW w:w="51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w:t>
            </w:r>
          </w:p>
        </w:tc>
        <w:tc>
          <w:tcPr>
            <w:tcW w:w="3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80" w:type="dxa"/>
            <w:vAlign w:val="bottom"/>
          </w:tcPr>
          <w:p>
            <w:pPr>
              <w:spacing w:after="0"/>
              <w:rPr>
                <w:sz w:val="24"/>
                <w:szCs w:val="24"/>
                <w:color w:val="auto"/>
              </w:rPr>
            </w:pPr>
          </w:p>
        </w:tc>
        <w:tc>
          <w:tcPr>
            <w:tcW w:w="4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(included in Exhibit 5.1).</w:t>
            </w:r>
          </w:p>
        </w:tc>
        <w:tc>
          <w:tcPr>
            <w:tcW w:w="4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4"/>
                <w:szCs w:val="24"/>
                <w:color w:val="auto"/>
              </w:rPr>
            </w:pPr>
          </w:p>
        </w:tc>
        <w:tc>
          <w:tcPr>
            <w:tcW w:w="3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402">
              <w:r>
                <w:rPr>
                  <w:rFonts w:ascii="Times New Roman" w:cs="Times New Roman" w:eastAsia="Times New Roman" w:hAnsi="Times New Roman"/>
                  <w:sz w:val="18"/>
                  <w:szCs w:val="18"/>
                  <w:color w:val="0000EE"/>
                  <w:w w:val="99"/>
                </w:rPr>
                <w:t>Power of Attorney (included on signature page).</w:t>
              </w:r>
            </w:hyperlink>
          </w:p>
        </w:tc>
        <w:tc>
          <w:tcPr>
            <w:tcW w:w="5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340" w:hanging="1224"/>
        <w:spacing w:after="0"/>
        <w:tabs>
          <w:tab w:leader="none" w:pos="1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7" w:lineRule="exact"/>
        <w:rPr>
          <w:sz w:val="20"/>
          <w:szCs w:val="20"/>
          <w:color w:val="auto"/>
        </w:rPr>
      </w:pPr>
    </w:p>
    <w:p>
      <w:pPr>
        <w:ind w:left="540" w:hanging="424"/>
        <w:spacing w:after="0"/>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Item 601(b)(10) of Regulation S-K.</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rFonts w:ascii="Times New Roman" w:cs="Times New Roman" w:eastAsia="Times New Roman" w:hAnsi="Times New Roman"/>
          <w:sz w:val="18"/>
          <w:szCs w:val="18"/>
          <w:color w:val="auto"/>
        </w:rPr>
      </w:pPr>
    </w:p>
    <w:p>
      <w:pPr>
        <w:ind w:left="54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326" w:lineRule="exact"/>
        <w:rPr>
          <w:sz w:val="20"/>
          <w:szCs w:val="20"/>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Schedules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financial statements or notes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Registrant hereby undertakes that:</w:t>
      </w:r>
    </w:p>
    <w:p>
      <w:pPr>
        <w:spacing w:after="0" w:line="117" w:lineRule="exact"/>
        <w:rPr>
          <w:sz w:val="20"/>
          <w:szCs w:val="20"/>
          <w:color w:val="auto"/>
        </w:rPr>
      </w:pPr>
    </w:p>
    <w:p>
      <w:pPr>
        <w:ind w:left="1100" w:right="20" w:firstLine="7"/>
        <w:spacing w:after="0" w:line="282" w:lineRule="auto"/>
        <w:tabs>
          <w:tab w:leader="none" w:pos="139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53" w:lineRule="exact"/>
        <w:rPr>
          <w:rFonts w:ascii="Times New Roman" w:cs="Times New Roman" w:eastAsia="Times New Roman" w:hAnsi="Times New Roman"/>
          <w:sz w:val="18"/>
          <w:szCs w:val="18"/>
          <w:color w:val="auto"/>
        </w:rPr>
      </w:pPr>
    </w:p>
    <w:p>
      <w:pPr>
        <w:jc w:val="both"/>
        <w:ind w:left="1100" w:firstLine="7"/>
        <w:spacing w:after="0" w:line="261" w:lineRule="auto"/>
        <w:tabs>
          <w:tab w:leader="none" w:pos="138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71" w:lineRule="exact"/>
        <w:rPr>
          <w:rFonts w:ascii="Times New Roman" w:cs="Times New Roman" w:eastAsia="Times New Roman" w:hAnsi="Times New Roman"/>
          <w:sz w:val="18"/>
          <w:szCs w:val="18"/>
          <w:color w:val="auto"/>
        </w:rPr>
      </w:pPr>
    </w:p>
    <w:p>
      <w:pPr>
        <w:jc w:val="both"/>
        <w:ind w:left="1100" w:right="20" w:firstLine="7"/>
        <w:spacing w:after="0" w:line="266" w:lineRule="auto"/>
        <w:tabs>
          <w:tab w:leader="none" w:pos="13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Boston, Massachusetts, on the 11th day of September,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BICARA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Claire Mazumdar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Claire Mazumdar, Ph.D., M.B.A.</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4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Claire Mazumdar</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Claire Mazumdar, Ph.D., M.B.A.</w:t>
            </w:r>
          </w:p>
        </w:tc>
        <w:tc>
          <w:tcPr>
            <w:tcW w:w="100" w:type="dxa"/>
            <w:vAlign w:val="bottom"/>
          </w:tcPr>
          <w:p>
            <w:pPr>
              <w:spacing w:after="0"/>
              <w:rPr>
                <w:sz w:val="19"/>
                <w:szCs w:val="19"/>
                <w:color w:val="auto"/>
              </w:rPr>
            </w:pPr>
          </w:p>
        </w:tc>
        <w:tc>
          <w:tcPr>
            <w:tcW w:w="4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Ivan Hyep</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176"/>
        </w:trPr>
        <w:tc>
          <w:tcPr>
            <w:tcW w:w="44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Ivan Hyep, M.B.A.</w:t>
            </w:r>
          </w:p>
        </w:tc>
        <w:tc>
          <w:tcPr>
            <w:tcW w:w="100" w:type="dxa"/>
            <w:vAlign w:val="bottom"/>
          </w:tcPr>
          <w:p>
            <w:pPr>
              <w:spacing w:after="0"/>
              <w:rPr>
                <w:sz w:val="15"/>
                <w:szCs w:val="15"/>
                <w:color w:val="auto"/>
              </w:rPr>
            </w:pPr>
          </w:p>
        </w:tc>
        <w:tc>
          <w:tcPr>
            <w:tcW w:w="4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 Accounting</w:t>
            </w:r>
          </w:p>
        </w:tc>
        <w:tc>
          <w:tcPr>
            <w:tcW w:w="2340" w:type="dxa"/>
            <w:vAlign w:val="bottom"/>
          </w:tcPr>
          <w:p>
            <w:pPr>
              <w:spacing w:after="0"/>
              <w:rPr>
                <w:sz w:val="15"/>
                <w:szCs w:val="15"/>
                <w:color w:val="auto"/>
              </w:rPr>
            </w:pPr>
          </w:p>
        </w:tc>
      </w:tr>
      <w:tr>
        <w:trPr>
          <w:trHeight w:val="236"/>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Officer</w:t>
            </w:r>
            <w:r>
              <w:rPr>
                <w:rFonts w:ascii="Times New Roman" w:cs="Times New Roman" w:eastAsia="Times New Roman" w:hAnsi="Times New Roman"/>
                <w:sz w:val="18"/>
                <w:szCs w:val="18"/>
                <w:color w:val="auto"/>
                <w:w w:val="98"/>
              </w:rPr>
              <w:t>)</w:t>
            </w:r>
          </w:p>
        </w:tc>
        <w:tc>
          <w:tcPr>
            <w:tcW w:w="2340" w:type="dxa"/>
            <w:vAlign w:val="bottom"/>
          </w:tcPr>
          <w:p>
            <w:pPr>
              <w:spacing w:after="0"/>
              <w:rPr>
                <w:sz w:val="20"/>
                <w:szCs w:val="20"/>
                <w:color w:val="auto"/>
              </w:rPr>
            </w:pPr>
          </w:p>
        </w:tc>
      </w:tr>
      <w:tr>
        <w:trPr>
          <w:trHeight w:val="432"/>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 Chairperson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Michael Powell</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Carolyn Ng, Ph.D.</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Vijay Kuchroo, D.V.M., Ph.D.</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Kiran Mazumdar-Shaw</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Heath Lukatch, Ph.D.</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Jake Simson, Ph.D.</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Kate Haviland, M.B.A.</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Scott Robertson, M.B.A.</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Nils Lonberg, Ph.D.</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2024</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Bowden</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60"/>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II-6</w:t>
            </w:r>
          </w:p>
        </w:tc>
        <w:tc>
          <w:tcPr>
            <w:tcW w:w="23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Claire Mazumdar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4860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Claire Mazumdar, Ph.D., M.B.A.</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0139"/>
          </w:cols>
          <w:pgMar w:left="320" w:top="455" w:right="1440"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Bicara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Huntington Avenue, Suite 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S-1</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S-1 (File No. 333-281722) (as amended or supplemented, the “Registration Statement”) pursuant to the Securities Act of 1933, as amended (the “Securities Act”), relating to the registration of the offering by Bicara Therapeutics Inc., a Delaware corporation (the “Company”), of up to 16,911,764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Company Shares have been duly authorized and, when delivered and paid for in accordance with the terms of the Underwriting Agreement,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 dated June 10, 2024, except for the effects of the September 2024 reverse stock split described in Note 2, as to which the date is September 6, 2024, with respect to the consolidated financial statements of Bicara Therapeutics Inc., included herein, and to the reference to our firm under the heading “Experts” in the prospectus.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2024</w:t>
      </w:r>
    </w:p>
    <w:p>
      <w:pPr>
        <w:sectPr>
          <w:pgSz w:w="11900" w:h="16838" w:orient="portrait"/>
          <w:cols w:equalWidth="0" w:num="1">
            <w:col w:w="11020"/>
          </w:cols>
          <w:pgMar w:left="440" w:top="117" w:right="4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Bicara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243"/>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spacing w:after="0"/>
              <w:rPr>
                <w:sz w:val="21"/>
                <w:szCs w:val="21"/>
                <w:color w:val="auto"/>
              </w:rPr>
            </w:pPr>
          </w:p>
        </w:tc>
        <w:tc>
          <w:tcPr>
            <w:tcW w:w="1840" w:type="dxa"/>
            <w:vAlign w:val="bottom"/>
            <w:tcBorders>
              <w:top w:val="single" w:sz="8" w:color="auto"/>
              <w:right w:val="single" w:sz="8" w:color="auto"/>
            </w:tcBorders>
          </w:tcPr>
          <w:p>
            <w:pPr>
              <w:spacing w:after="0"/>
              <w:rPr>
                <w:sz w:val="21"/>
                <w:szCs w:val="21"/>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980" w:type="dxa"/>
            <w:vAlign w:val="bottom"/>
            <w:tcBorders>
              <w:top w:val="single" w:sz="8" w:color="auto"/>
              <w:right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32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9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20" w:type="dxa"/>
            <w:vAlign w:val="bottom"/>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8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3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40" w:type="dxa"/>
            <w:vAlign w:val="bottom"/>
            <w:tcBorders>
              <w:right w:val="single" w:sz="8" w:color="auto"/>
            </w:tcBorders>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5"/>
        </w:trPr>
        <w:tc>
          <w:tcPr>
            <w:tcW w:w="1380" w:type="dxa"/>
            <w:vAlign w:val="bottom"/>
            <w:tcBorders>
              <w:left w:val="single" w:sz="8" w:color="auto"/>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840" w:type="dxa"/>
            <w:vAlign w:val="bottom"/>
            <w:tcBorders>
              <w:bottom w:val="single" w:sz="8" w:color="auto"/>
              <w:right w:val="single" w:sz="8" w:color="auto"/>
            </w:tcBorders>
            <w:vMerge w:val="continue"/>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0"/>
                <w:szCs w:val="10"/>
                <w:b w:val="1"/>
                <w:bCs w:val="1"/>
                <w:color w:val="auto"/>
              </w:rPr>
              <w:t>(1)</w:t>
            </w:r>
          </w:p>
        </w:tc>
        <w:tc>
          <w:tcPr>
            <w:tcW w:w="132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right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88"/>
        </w:trPr>
        <w:tc>
          <w:tcPr>
            <w:tcW w:w="1380" w:type="dxa"/>
            <w:vAlign w:val="bottom"/>
            <w:tcBorders>
              <w:left w:val="single" w:sz="8" w:color="auto"/>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NEWLY REGISTERED SECURITIES</w:t>
            </w:r>
          </w:p>
        </w:tc>
        <w:tc>
          <w:tcPr>
            <w:tcW w:w="1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 Fees to Be</w:t>
            </w:r>
          </w:p>
        </w:tc>
        <w:tc>
          <w:tcPr>
            <w:tcW w:w="8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Common Stock, par value</w:t>
            </w:r>
          </w:p>
        </w:tc>
        <w:tc>
          <w:tcPr>
            <w:tcW w:w="8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 Paid</w:t>
            </w:r>
          </w:p>
        </w:tc>
        <w:tc>
          <w:tcPr>
            <w:tcW w:w="8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Equity </w:t>
            </w: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$0.0001 per share</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 xml:space="preserve">457(a)   </w:t>
            </w:r>
          </w:p>
        </w:tc>
        <w:tc>
          <w:tcPr>
            <w:tcW w:w="98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16"/>
                <w:szCs w:val="16"/>
                <w:color w:val="auto"/>
                <w:w w:val="94"/>
              </w:rPr>
              <w:t>16,911,764</w:t>
            </w:r>
            <w:r>
              <w:rPr>
                <w:rFonts w:ascii="Times New Roman" w:cs="Times New Roman" w:eastAsia="Times New Roman" w:hAnsi="Times New Roman"/>
                <w:sz w:val="24"/>
                <w:szCs w:val="24"/>
                <w:color w:val="auto"/>
                <w:w w:val="94"/>
                <w:vertAlign w:val="superscript"/>
              </w:rPr>
              <w:t>(2)</w:t>
            </w:r>
          </w:p>
        </w:tc>
        <w:tc>
          <w:tcPr>
            <w:tcW w:w="860" w:type="dxa"/>
            <w:vAlign w:val="bottom"/>
            <w:tcBorders>
              <w:bottom w:val="single" w:sz="8" w:color="auto"/>
              <w:right w:val="single" w:sz="8" w:color="auto"/>
            </w:tcBorders>
          </w:tcPr>
          <w:p>
            <w:pPr>
              <w:jc w:val="right"/>
              <w:spacing w:after="0" w:line="229" w:lineRule="exact"/>
              <w:rPr>
                <w:sz w:val="20"/>
                <w:szCs w:val="20"/>
                <w:color w:val="auto"/>
              </w:rPr>
            </w:pPr>
            <w:r>
              <w:rPr>
                <w:rFonts w:ascii="Times New Roman" w:cs="Times New Roman" w:eastAsia="Times New Roman" w:hAnsi="Times New Roman"/>
                <w:sz w:val="16"/>
                <w:szCs w:val="16"/>
                <w:color w:val="auto"/>
              </w:rPr>
              <w:t>$18.00</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$304,411,752   </w:t>
            </w:r>
          </w:p>
        </w:tc>
        <w:tc>
          <w:tcPr>
            <w:tcW w:w="1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 xml:space="preserve">0.00014760   </w:t>
            </w:r>
          </w:p>
        </w:tc>
        <w:tc>
          <w:tcPr>
            <w:tcW w:w="12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color w:val="auto"/>
                <w:w w:val="99"/>
              </w:rPr>
              <w:t>$44,931.18</w:t>
            </w:r>
          </w:p>
        </w:tc>
        <w:tc>
          <w:tcPr>
            <w:tcW w:w="0" w:type="dxa"/>
            <w:vAlign w:val="bottom"/>
          </w:tcPr>
          <w:p>
            <w:pPr>
              <w:spacing w:after="0"/>
              <w:rPr>
                <w:sz w:val="1"/>
                <w:szCs w:val="1"/>
                <w:color w:val="auto"/>
              </w:rPr>
            </w:pPr>
          </w:p>
        </w:tc>
      </w:tr>
      <w:tr>
        <w:trPr>
          <w:trHeight w:val="182"/>
        </w:trPr>
        <w:tc>
          <w:tcPr>
            <w:tcW w:w="1380" w:type="dxa"/>
            <w:vAlign w:val="bottom"/>
            <w:tcBorders>
              <w:left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6"/>
                <w:szCs w:val="16"/>
                <w:color w:val="auto"/>
              </w:rPr>
              <w:t> Fees Previously</w:t>
            </w:r>
          </w:p>
        </w:tc>
        <w:tc>
          <w:tcPr>
            <w:tcW w:w="82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Common Stock, par value</w:t>
            </w:r>
          </w:p>
        </w:tc>
        <w:tc>
          <w:tcPr>
            <w:tcW w:w="8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 Paid</w:t>
            </w:r>
          </w:p>
        </w:tc>
        <w:tc>
          <w:tcPr>
            <w:tcW w:w="8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Equity </w:t>
            </w: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$0.0001 per share</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 xml:space="preserve">457(a)   </w:t>
            </w:r>
          </w:p>
        </w:tc>
        <w:tc>
          <w:tcPr>
            <w:tcW w:w="98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 xml:space="preserve">$243,535,500   </w:t>
            </w:r>
          </w:p>
        </w:tc>
        <w:tc>
          <w:tcPr>
            <w:tcW w:w="1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 xml:space="preserve">0.00014760   </w:t>
            </w:r>
          </w:p>
        </w:tc>
        <w:tc>
          <w:tcPr>
            <w:tcW w:w="12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color w:val="auto"/>
                <w:w w:val="99"/>
              </w:rPr>
              <w:t>$35,945.84</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CARRY FORWARD SECURITIES</w:t>
            </w:r>
          </w:p>
        </w:tc>
        <w:tc>
          <w:tcPr>
            <w:tcW w:w="1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Carry Forward</w:t>
            </w:r>
          </w:p>
        </w:tc>
        <w:tc>
          <w:tcPr>
            <w:tcW w:w="8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Securities</w:t>
            </w:r>
          </w:p>
        </w:tc>
        <w:tc>
          <w:tcPr>
            <w:tcW w:w="82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88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$304,411,752   </w:t>
            </w:r>
          </w:p>
        </w:tc>
        <w:tc>
          <w:tcPr>
            <w:tcW w:w="13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color w:val="auto"/>
                <w:w w:val="99"/>
              </w:rPr>
              <w:t>$44,931.18</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88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color w:val="auto"/>
                <w:w w:val="99"/>
              </w:rPr>
              <w:t>$35,945.84</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88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88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color w:val="auto"/>
                <w:w w:val="99"/>
              </w:rPr>
              <w:t>$8,985.34</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424" w:hanging="424"/>
        <w:spacing w:after="0"/>
        <w:tabs>
          <w:tab w:leader="none" w:pos="424" w:val="left"/>
        </w:tabs>
        <w:numPr>
          <w:ilvl w:val="0"/>
          <w:numId w:val="1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Estimated solely for the purpose of computing the registration fee in accordance with Rule 457(a) under the Securities Act of 1933, as amended.</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the aggregate offering price of 2,205,882 additional shares that the underwriters have the option to purchase.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1)"/>
      <w:numFmt w:val="decimal"/>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1)"/>
      <w:numFmt w:val="lowerRoman"/>
      <w:start w:val="2"/>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1)"/>
      <w:numFmt w:val="decimal"/>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1)"/>
      <w:numFmt w:val="decimal"/>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
      <w:numFmt w:val="bullet"/>
      <w:start w:val="1"/>
    </w:lvl>
  </w:abstractNum>
  <w:abstractNum w:abstractNumId="55">
    <w:nsid w:val="2C27173B"/>
    <w:multiLevelType w:val="hybridMultilevel"/>
    <w:lvl w:ilvl="0">
      <w:lvlJc w:val="left"/>
      <w:lvlText w:val="•"/>
      <w:numFmt w:val="bullet"/>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
      <w:numFmt w:val="bullet"/>
      <w:start w:val="1"/>
    </w:lvl>
  </w:abstractNum>
  <w:abstractNum w:abstractNumId="58">
    <w:nsid w:val="1DF029D3"/>
    <w:multiLevelType w:val="hybridMultilevel"/>
    <w:lvl w:ilvl="0">
      <w:lvlJc w:val="left"/>
      <w:lvlText w:val="•"/>
      <w:numFmt w:val="bullet"/>
      <w:start w:val="1"/>
    </w:lvl>
  </w:abstractNum>
  <w:abstractNum w:abstractNumId="59">
    <w:nsid w:val="5675FF36"/>
    <w:multiLevelType w:val="hybridMultilevel"/>
    <w:lvl w:ilvl="0">
      <w:lvlJc w:val="left"/>
      <w:lvlText w:val="•"/>
      <w:numFmt w:val="bullet"/>
      <w:start w:val="1"/>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abstractNum>
  <w:abstractNum w:abstractNumId="62">
    <w:nsid w:val="2708C9AF"/>
    <w:multiLevelType w:val="hybridMultilevel"/>
    <w:lvl w:ilvl="0">
      <w:lvlJc w:val="left"/>
      <w:lvlText w:val="•"/>
      <w:numFmt w:val="bullet"/>
      <w:start w:val="1"/>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
      <w:numFmt w:val="bullet"/>
      <w:start w:val="1"/>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
      <w:numFmt w:val="bullet"/>
      <w:start w:val="1"/>
    </w:lvl>
  </w:abstractNum>
  <w:abstractNum w:abstractNumId="68">
    <w:nsid w:val="5915FF32"/>
    <w:multiLevelType w:val="hybridMultilevel"/>
    <w:lvl w:ilvl="0">
      <w:lvlJc w:val="left"/>
      <w:lvlText w:val="(%1)"/>
      <w:numFmt w:val="decimal"/>
      <w:start w:val="1"/>
    </w:lvl>
  </w:abstractNum>
  <w:abstractNum w:abstractNumId="69">
    <w:nsid w:val="56438D15"/>
    <w:multiLevelType w:val="hybridMultilevel"/>
    <w:lvl w:ilvl="0">
      <w:lvlJc w:val="left"/>
      <w:lvlText w:val="(%1)"/>
      <w:numFmt w:val="lowerRoman"/>
      <w:start w:val="3"/>
    </w:lvl>
  </w:abstractNum>
  <w:abstractNum w:abstractNumId="70">
    <w:nsid w:val="519E3149"/>
    <w:multiLevelType w:val="hybridMultilevel"/>
    <w:lvl w:ilvl="0">
      <w:lvlJc w:val="left"/>
      <w:lvlText w:val="•"/>
      <w:numFmt w:val="bullet"/>
      <w:start w:val="1"/>
    </w:lvl>
    <w:lvl w:ilvl="1">
      <w:lvlJc w:val="left"/>
      <w:lvlText w:val="(%2)"/>
      <w:numFmt w:val="decimal"/>
      <w:start w:val="2"/>
    </w:lvl>
  </w:abstractNum>
  <w:abstractNum w:abstractNumId="71">
    <w:nsid w:val="2C6E4AFD"/>
    <w:multiLevelType w:val="hybridMultilevel"/>
    <w:lvl w:ilvl="0">
      <w:lvlJc w:val="left"/>
      <w:lvlText w:val="•"/>
      <w:numFmt w:val="bullet"/>
      <w:start w:val="1"/>
    </w:lvl>
  </w:abstractNum>
  <w:abstractNum w:abstractNumId="72">
    <w:nsid w:val="17A1B582"/>
    <w:multiLevelType w:val="hybridMultilevel"/>
    <w:lvl w:ilvl="0">
      <w:lvlJc w:val="left"/>
      <w:lvlText w:val="•"/>
      <w:numFmt w:val="bullet"/>
      <w:start w:val="1"/>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
      <w:numFmt w:val="bullet"/>
      <w:start w:val="1"/>
    </w:lvl>
  </w:abstractNum>
  <w:abstractNum w:abstractNumId="77">
    <w:nsid w:val="5EC6AFD4"/>
    <w:multiLevelType w:val="hybridMultilevel"/>
    <w:lvl w:ilvl="0">
      <w:lvlJc w:val="left"/>
      <w:lvlText w:val="•"/>
      <w:numFmt w:val="bullet"/>
      <w:start w:val="1"/>
    </w:lvl>
  </w:abstractNum>
  <w:abstractNum w:abstractNumId="78">
    <w:nsid w:val="19E21BB2"/>
    <w:multiLevelType w:val="hybridMultilevel"/>
    <w:lvl w:ilvl="0">
      <w:lvlJc w:val="left"/>
      <w:lvlText w:val="•"/>
      <w:numFmt w:val="bullet"/>
      <w:start w:val="1"/>
    </w:lvl>
  </w:abstractNum>
  <w:abstractNum w:abstractNumId="79">
    <w:nsid w:val="75E0858A"/>
    <w:multiLevelType w:val="hybridMultilevel"/>
    <w:lvl w:ilvl="0">
      <w:lvlJc w:val="left"/>
      <w:lvlText w:val="(%1)"/>
      <w:numFmt w:val="decimal"/>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
      <w:numFmt w:val="bullet"/>
      <w:start w:val="1"/>
    </w:lvl>
  </w:abstractNum>
  <w:abstractNum w:abstractNumId="82">
    <w:nsid w:val="20EE1348"/>
    <w:multiLevelType w:val="hybridMultilevel"/>
    <w:lvl w:ilvl="0">
      <w:lvlJc w:val="left"/>
      <w:lvlText w:val="•"/>
      <w:numFmt w:val="bullet"/>
      <w:start w:val="1"/>
    </w:lvl>
  </w:abstractNum>
  <w:abstractNum w:abstractNumId="83">
    <w:nsid w:val="4427069A"/>
    <w:multiLevelType w:val="hybridMultilevel"/>
    <w:lvl w:ilvl="0">
      <w:lvlJc w:val="left"/>
      <w:lvlText w:val="•"/>
      <w:numFmt w:val="bullet"/>
      <w:start w:val="1"/>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
      <w:numFmt w:val="bullet"/>
      <w:start w:val="1"/>
    </w:lvl>
  </w:abstractNum>
  <w:abstractNum w:abstractNumId="86">
    <w:nsid w:val="704E1DD5"/>
    <w:multiLevelType w:val="hybridMultilevel"/>
    <w:lvl w:ilvl="0">
      <w:lvlJc w:val="left"/>
      <w:lvlText w:val="•"/>
      <w:numFmt w:val="bullet"/>
      <w:start w:val="1"/>
    </w:lvl>
  </w:abstractNum>
  <w:abstractNum w:abstractNumId="87">
    <w:nsid w:val="57D2F10E"/>
    <w:multiLevelType w:val="hybridMultilevel"/>
    <w:lvl w:ilvl="0">
      <w:lvlJc w:val="left"/>
      <w:lvlText w:val="•"/>
      <w:numFmt w:val="bullet"/>
      <w:start w:val="1"/>
    </w:lvl>
  </w:abstractNum>
  <w:abstractNum w:abstractNumId="88">
    <w:nsid w:val="BFFAE18"/>
    <w:multiLevelType w:val="hybridMultilevel"/>
    <w:lvl w:ilvl="0">
      <w:lvlJc w:val="left"/>
      <w:lvlText w:val="(%1)"/>
      <w:numFmt w:val="decimal"/>
      <w:start w:val="1"/>
    </w:lvl>
  </w:abstractNum>
  <w:abstractNum w:abstractNumId="89">
    <w:nsid w:val="E3E47A8"/>
    <w:multiLevelType w:val="hybridMultilevel"/>
    <w:lvl w:ilvl="0">
      <w:lvlJc w:val="left"/>
      <w:lvlText w:val="(%1)"/>
      <w:numFmt w:val="lowerRoman"/>
      <w:start w:val="1"/>
    </w:lvl>
  </w:abstractNum>
  <w:abstractNum w:abstractNumId="90">
    <w:nsid w:val="2E48F044"/>
    <w:multiLevelType w:val="hybridMultilevel"/>
    <w:lvl w:ilvl="0">
      <w:lvlJc w:val="left"/>
      <w:lvlText w:val="(%1)"/>
      <w:numFmt w:val="lowerRoman"/>
      <w:start w:val="4"/>
    </w:lvl>
  </w:abstractNum>
  <w:abstractNum w:abstractNumId="91">
    <w:nsid w:val="49D0FEAC"/>
    <w:multiLevelType w:val="hybridMultilevel"/>
    <w:lvl w:ilvl="0">
      <w:lvlJc w:val="left"/>
      <w:lvlText w:val="(%1)"/>
      <w:numFmt w:val="lowerRoman"/>
      <w:start w:val="3"/>
    </w:lvl>
  </w:abstractNum>
  <w:abstractNum w:abstractNumId="92">
    <w:nsid w:val="4BEE5A5B"/>
    <w:multiLevelType w:val="hybridMultilevel"/>
    <w:lvl w:ilvl="0">
      <w:lvlJc w:val="left"/>
      <w:lvlText w:val="(%1)"/>
      <w:numFmt w:val="decimal"/>
      <w:start w:val="1"/>
    </w:lvl>
  </w:abstractNum>
  <w:abstractNum w:abstractNumId="93">
    <w:nsid w:val="5551B9F3"/>
    <w:multiLevelType w:val="hybridMultilevel"/>
    <w:lvl w:ilvl="0">
      <w:lvlJc w:val="left"/>
      <w:lvlText w:val="(%1)"/>
      <w:numFmt w:val="decimal"/>
      <w:start w:val="1"/>
    </w:lvl>
  </w:abstractNum>
  <w:abstractNum w:abstractNumId="94">
    <w:nsid w:val="24F6AB8E"/>
    <w:multiLevelType w:val="hybridMultilevel"/>
    <w:lvl w:ilvl="0">
      <w:lvlJc w:val="left"/>
      <w:lvlText w:val="(%1)"/>
      <w:numFmt w:val="decimal"/>
      <w:start w:val="3"/>
    </w:lvl>
  </w:abstractNum>
  <w:abstractNum w:abstractNumId="95">
    <w:nsid w:val="634C574C"/>
    <w:multiLevelType w:val="hybridMultilevel"/>
    <w:lvl w:ilvl="0">
      <w:lvlJc w:val="left"/>
      <w:lvlText w:val="•"/>
      <w:numFmt w:val="bullet"/>
      <w:start w:val="1"/>
    </w:lvl>
  </w:abstractNum>
  <w:abstractNum w:abstractNumId="96">
    <w:nsid w:val="24E99DD7"/>
    <w:multiLevelType w:val="hybridMultilevel"/>
    <w:lvl w:ilvl="0">
      <w:lvlJc w:val="left"/>
      <w:lvlText w:val="(%1)"/>
      <w:numFmt w:val="decimal"/>
      <w:start w:val="1"/>
    </w:lvl>
  </w:abstractNum>
  <w:abstractNum w:abstractNumId="97">
    <w:nsid w:val="2A31B62D"/>
    <w:multiLevelType w:val="hybridMultilevel"/>
    <w:lvl w:ilvl="0">
      <w:lvlJc w:val="left"/>
      <w:lvlText w:val="(%1)"/>
      <w:numFmt w:val="decimal"/>
      <w:start w:val="1"/>
    </w:lvl>
  </w:abstractNum>
  <w:abstractNum w:abstractNumId="98">
    <w:nsid w:val="1849C29B"/>
    <w:multiLevelType w:val="hybridMultilevel"/>
    <w:lvl w:ilvl="0">
      <w:lvlJc w:val="left"/>
      <w:lvlText w:val="(%1)"/>
      <w:numFmt w:val="decimal"/>
      <w:start w:val="1"/>
    </w:lvl>
  </w:abstractNum>
  <w:abstractNum w:abstractNumId="99">
    <w:nsid w:val="7DFF9D09"/>
    <w:multiLevelType w:val="hybridMultilevel"/>
    <w:lvl w:ilvl="0">
      <w:lvlJc w:val="left"/>
      <w:lvlText w:val="(%1)"/>
      <w:numFmt w:val="decimal"/>
      <w:start w:val="1"/>
    </w:lvl>
  </w:abstractNum>
  <w:abstractNum w:abstractNumId="100">
    <w:nsid w:val="754342"/>
    <w:multiLevelType w:val="hybridMultilevel"/>
    <w:lvl w:ilvl="0">
      <w:lvlJc w:val="left"/>
      <w:lvlText w:val="(%1)"/>
      <w:numFmt w:val="decimal"/>
      <w:start w:val="1"/>
    </w:lvl>
  </w:abstractNum>
  <w:abstractNum w:abstractNumId="101">
    <w:nsid w:val="69E7F3E5"/>
    <w:multiLevelType w:val="hybridMultilevel"/>
    <w:lvl w:ilvl="0">
      <w:lvlJc w:val="left"/>
      <w:lvlText w:val="(%1)"/>
      <w:numFmt w:val="decimal"/>
      <w:start w:val="1"/>
    </w:lvl>
  </w:abstractNum>
  <w:abstractNum w:abstractNumId="102">
    <w:nsid w:val="2A6DE806"/>
    <w:multiLevelType w:val="hybridMultilevel"/>
    <w:lvl w:ilvl="0">
      <w:lvlJc w:val="left"/>
      <w:lvlText w:val="(%1)"/>
      <w:numFmt w:val="decimal"/>
      <w:start w:val="1"/>
    </w:lvl>
  </w:abstractNum>
  <w:abstractNum w:abstractNumId="103">
    <w:nsid w:val="1816F8C4"/>
    <w:multiLevelType w:val="hybridMultilevel"/>
    <w:lvl w:ilvl="0">
      <w:lvlJc w:val="left"/>
      <w:lvlText w:val="(%1)"/>
      <w:numFmt w:val="decimal"/>
      <w:start w:val="1"/>
    </w:lvl>
  </w:abstractNum>
  <w:abstractNum w:abstractNumId="104">
    <w:nsid w:val="37DF2233"/>
    <w:multiLevelType w:val="hybridMultilevel"/>
    <w:lvl w:ilvl="0">
      <w:lvlJc w:val="left"/>
      <w:lvlText w:val="•"/>
      <w:numFmt w:val="bullet"/>
      <w:start w:val="1"/>
    </w:lvl>
  </w:abstractNum>
  <w:abstractNum w:abstractNumId="105">
    <w:nsid w:val="7AB49DAF"/>
    <w:multiLevelType w:val="hybridMultilevel"/>
    <w:lvl w:ilvl="0">
      <w:lvlJc w:val="left"/>
      <w:lvlText w:val="*"/>
      <w:numFmt w:val="bullet"/>
      <w:start w:val="1"/>
    </w:lvl>
  </w:abstractNum>
  <w:abstractNum w:abstractNumId="106">
    <w:nsid w:val="759F82CD"/>
    <w:multiLevelType w:val="hybridMultilevel"/>
    <w:lvl w:ilvl="0">
      <w:lvlJc w:val="left"/>
      <w:lvlText w:val="(%1)"/>
      <w:numFmt w:val="decimal"/>
      <w:start w:val="1"/>
    </w:lvl>
  </w:abstractNum>
  <w:abstractNum w:abstractNumId="107">
    <w:nsid w:val="61E74EA3"/>
    <w:multiLevelType w:val="hybridMultilevel"/>
    <w:lvl w:ilvl="0">
      <w:lvlJc w:val="left"/>
      <w:lvlText w:val="(%1)"/>
      <w:numFmt w:val="decimal"/>
      <w:start w:val="5"/>
    </w:lvl>
  </w:abstractNum>
  <w:abstractNum w:abstractNumId="108">
    <w:nsid w:val="597B4D84"/>
    <w:multiLevelType w:val="hybridMultilevel"/>
    <w:lvl w:ilvl="0">
      <w:lvlJc w:val="left"/>
      <w:lvlText w:val="(%1)"/>
      <w:numFmt w:val="decimal"/>
      <w:start w:val="7"/>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
      <w:numFmt w:val="bullet"/>
      <w:start w:val="1"/>
    </w:lvl>
  </w:abstractNum>
  <w:abstractNum w:abstractNumId="111">
    <w:nsid w:val="312167AD"/>
    <w:multiLevelType w:val="hybridMultilevel"/>
    <w:lvl w:ilvl="0">
      <w:lvlJc w:val="left"/>
      <w:lvlText w:val="•"/>
      <w:numFmt w:val="bullet"/>
      <w:start w:val="1"/>
    </w:lvl>
  </w:abstractNum>
  <w:abstractNum w:abstractNumId="112">
    <w:nsid w:val="631B64D4"/>
    <w:multiLevelType w:val="hybridMultilevel"/>
    <w:lvl w:ilvl="0">
      <w:lvlJc w:val="left"/>
      <w:lvlText w:val="(%1)"/>
      <w:numFmt w:val="lowerRoman"/>
      <w:start w:val="1"/>
    </w:lvl>
    <w:lvl w:ilvl="1">
      <w:lvlJc w:val="left"/>
      <w:lvlText w:val="•"/>
      <w:numFmt w:val="bullet"/>
      <w:start w:val="1"/>
    </w:lvl>
  </w:abstractNum>
  <w:abstractNum w:abstractNumId="113">
    <w:nsid w:val="78B5E776"/>
    <w:multiLevelType w:val="hybridMultilevel"/>
    <w:lvl w:ilvl="0">
      <w:lvlJc w:val="left"/>
      <w:lvlText w:val="•"/>
      <w:numFmt w:val="bullet"/>
      <w:start w:val="1"/>
    </w:lvl>
  </w:abstractNum>
  <w:abstractNum w:abstractNumId="114">
    <w:nsid w:val="75486E47"/>
    <w:multiLevelType w:val="hybridMultilevel"/>
    <w:lvl w:ilvl="0">
      <w:lvlJc w:val="left"/>
      <w:lvlText w:val="•"/>
      <w:numFmt w:val="bullet"/>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
      <w:numFmt w:val="bullet"/>
      <w:start w:val="1"/>
    </w:lvl>
  </w:abstractNum>
  <w:abstractNum w:abstractNumId="117">
    <w:nsid w:val="65968C1C"/>
    <w:multiLevelType w:val="hybridMultilevel"/>
    <w:lvl w:ilvl="0">
      <w:lvlJc w:val="left"/>
      <w:lvlText w:val="%1)"/>
      <w:numFmt w:val="lowerLetter"/>
      <w:start w:val="1"/>
    </w:lvl>
  </w:abstractNum>
  <w:abstractNum w:abstractNumId="118">
    <w:nsid w:val="46263DEC"/>
    <w:multiLevelType w:val="hybridMultilevel"/>
    <w:lvl w:ilvl="0">
      <w:lvlJc w:val="left"/>
      <w:lvlText w:val="%1)"/>
      <w:numFmt w:val="lowerLetter"/>
      <w:start w:val="6"/>
    </w:lvl>
  </w:abstractNum>
  <w:abstractNum w:abstractNumId="119">
    <w:nsid w:val="260D8C4A"/>
    <w:multiLevelType w:val="hybridMultilevel"/>
    <w:lvl w:ilvl="0">
      <w:lvlJc w:val="left"/>
      <w:lvlText w:val="%1)"/>
      <w:numFmt w:val="lowerLetter"/>
      <w:start w:val="1"/>
    </w:lvl>
  </w:abstractNum>
  <w:abstractNum w:abstractNumId="120">
    <w:nsid w:val="73D4D3C4"/>
    <w:multiLevelType w:val="hybridMultilevel"/>
    <w:lvl w:ilvl="0">
      <w:lvlJc w:val="left"/>
      <w:lvlText w:val="%1)"/>
      <w:numFmt w:val="lowerLetter"/>
      <w:start w:val="4"/>
    </w:lvl>
    <w:lvl w:ilvl="1">
      <w:lvlJc w:val="left"/>
      <w:lvlText w:val="(%2)"/>
      <w:numFmt w:val="lowerRoman"/>
      <w:start w:val="1"/>
    </w:lvl>
  </w:abstractNum>
  <w:abstractNum w:abstractNumId="121">
    <w:nsid w:val="746F2E30"/>
    <w:multiLevelType w:val="hybridMultilevel"/>
    <w:lvl w:ilvl="0">
      <w:lvlJc w:val="left"/>
      <w:lvlText w:val="%1)"/>
      <w:numFmt w:val="lowerLetter"/>
      <w:start w:val="1"/>
    </w:lvl>
  </w:abstractNum>
  <w:abstractNum w:abstractNumId="122">
    <w:nsid w:val="6FDE8AF6"/>
    <w:multiLevelType w:val="hybridMultilevel"/>
    <w:lvl w:ilvl="0">
      <w:lvlJc w:val="left"/>
      <w:lvlText w:val="(%1)"/>
      <w:numFmt w:val="lowerRoman"/>
      <w:start w:val="1"/>
    </w:lvl>
  </w:abstractNum>
  <w:abstractNum w:abstractNumId="123">
    <w:nsid w:val="3FC32E20"/>
    <w:multiLevelType w:val="hybridMultilevel"/>
    <w:lvl w:ilvl="0">
      <w:lvlJc w:val="left"/>
      <w:lvlText w:val="(%1)"/>
      <w:numFmt w:val="lowerRoman"/>
      <w:start w:val="1"/>
    </w:lvl>
    <w:lvl w:ilvl="1">
      <w:lvlJc w:val="left"/>
      <w:lvlText w:val="%2)"/>
      <w:numFmt w:val="lowerLetter"/>
      <w:start w:val="1"/>
    </w:lvl>
  </w:abstractNum>
  <w:abstractNum w:abstractNumId="124">
    <w:nsid w:val="49C0E823"/>
    <w:multiLevelType w:val="hybridMultilevel"/>
    <w:lvl w:ilvl="0">
      <w:lvlJc w:val="left"/>
      <w:lvlText w:val="%1."/>
      <w:numFmt w:val="decimal"/>
      <w:start w:val="1"/>
    </w:lvl>
  </w:abstractNum>
  <w:abstractNum w:abstractNumId="125">
    <w:nsid w:val="14D53685"/>
    <w:multiLevelType w:val="hybridMultilevel"/>
    <w:lvl w:ilvl="0">
      <w:lvlJc w:val="left"/>
      <w:lvlText w:val="%1."/>
      <w:numFmt w:val="decimal"/>
      <w:start w:val="2"/>
    </w:lvl>
  </w:abstractNum>
  <w:abstractNum w:abstractNumId="126">
    <w:nsid w:val="230F856C"/>
    <w:multiLevelType w:val="hybridMultilevel"/>
    <w:lvl w:ilvl="0">
      <w:lvlJc w:val="left"/>
      <w:lvlText w:val="(%1)"/>
      <w:numFmt w:val="lowerRoman"/>
      <w:start w:val="1"/>
    </w:lvl>
  </w:abstractNum>
  <w:abstractNum w:abstractNumId="127">
    <w:nsid w:val="6EAA85FB"/>
    <w:multiLevelType w:val="hybridMultilevel"/>
    <w:lvl w:ilvl="0">
      <w:lvlJc w:val="left"/>
      <w:lvlText w:val="(%1)"/>
      <w:numFmt w:val="lowerRoman"/>
      <w:start w:val="1"/>
    </w:lvl>
  </w:abstractNum>
  <w:abstractNum w:abstractNumId="128">
    <w:nsid w:val="3F06ECB2"/>
    <w:multiLevelType w:val="hybridMultilevel"/>
    <w:lvl w:ilvl="0">
      <w:lvlJc w:val="left"/>
      <w:lvlText w:val="•"/>
      <w:numFmt w:val="bullet"/>
      <w:start w:val="1"/>
    </w:lvl>
  </w:abstractNum>
  <w:abstractNum w:abstractNumId="129">
    <w:nsid w:val="3B594807"/>
    <w:multiLevelType w:val="hybridMultilevel"/>
    <w:lvl w:ilvl="0">
      <w:lvlJc w:val="left"/>
      <w:lvlText w:val="(%1)"/>
      <w:numFmt w:val="lowerRoman"/>
      <w:start w:val="1"/>
    </w:lvl>
  </w:abstractNum>
  <w:abstractNum w:abstractNumId="130">
    <w:nsid w:val="6CAA2304"/>
    <w:multiLevelType w:val="hybridMultilevel"/>
    <w:lvl w:ilvl="0">
      <w:lvlJc w:val="left"/>
      <w:lvlText w:val="%1."/>
      <w:numFmt w:val="decimal"/>
      <w:start w:val="3"/>
    </w:lvl>
  </w:abstractNum>
  <w:abstractNum w:abstractNumId="131">
    <w:nsid w:val="3F7C2FF4"/>
    <w:multiLevelType w:val="hybridMultilevel"/>
    <w:lvl w:ilvl="0">
      <w:lvlJc w:val="left"/>
      <w:lvlText w:val="%1."/>
      <w:numFmt w:val="decimal"/>
      <w:start w:val="4"/>
    </w:lvl>
  </w:abstractNum>
  <w:abstractNum w:abstractNumId="132">
    <w:nsid w:val="25413BEC"/>
    <w:multiLevelType w:val="hybridMultilevel"/>
    <w:lvl w:ilvl="0">
      <w:lvlJc w:val="left"/>
      <w:lvlText w:val="%1."/>
      <w:numFmt w:val="decimal"/>
      <w:start w:val="5"/>
    </w:lvl>
  </w:abstractNum>
  <w:abstractNum w:abstractNumId="133">
    <w:nsid w:val="17180B0B"/>
    <w:multiLevelType w:val="hybridMultilevel"/>
    <w:lvl w:ilvl="0">
      <w:lvlJc w:val="left"/>
      <w:lvlText w:val="%1."/>
      <w:numFmt w:val="decimal"/>
      <w:start w:val="6"/>
    </w:lvl>
  </w:abstractNum>
  <w:abstractNum w:abstractNumId="134">
    <w:nsid w:val="579328B9"/>
    <w:multiLevelType w:val="hybridMultilevel"/>
    <w:lvl w:ilvl="0">
      <w:lvlJc w:val="left"/>
      <w:lvlText w:val="%1."/>
      <w:numFmt w:val="decimal"/>
      <w:start w:val="7"/>
    </w:lvl>
  </w:abstractNum>
  <w:abstractNum w:abstractNumId="135">
    <w:nsid w:val="5D205E20"/>
    <w:multiLevelType w:val="hybridMultilevel"/>
    <w:lvl w:ilvl="0">
      <w:lvlJc w:val="left"/>
      <w:lvlText w:val="%1."/>
      <w:numFmt w:val="decimal"/>
      <w:start w:val="8"/>
    </w:lvl>
  </w:abstractNum>
  <w:abstractNum w:abstractNumId="136">
    <w:nsid w:val="11CCA8BA"/>
    <w:multiLevelType w:val="hybridMultilevel"/>
    <w:lvl w:ilvl="0">
      <w:lvlJc w:val="left"/>
      <w:lvlText w:val="%1."/>
      <w:numFmt w:val="decimal"/>
      <w:start w:val="9"/>
    </w:lvl>
  </w:abstractNum>
  <w:abstractNum w:abstractNumId="137">
    <w:nsid w:val="4D32AB86"/>
    <w:multiLevelType w:val="hybridMultilevel"/>
    <w:lvl w:ilvl="0">
      <w:lvlJc w:val="left"/>
      <w:lvlText w:val="%1."/>
      <w:numFmt w:val="decimal"/>
      <w:start w:val="10"/>
    </w:lvl>
  </w:abstractNum>
  <w:abstractNum w:abstractNumId="138">
    <w:nsid w:val="3F07ACC3"/>
    <w:multiLevelType w:val="hybridMultilevel"/>
    <w:lvl w:ilvl="0">
      <w:lvlJc w:val="left"/>
      <w:lvlText w:val="%1."/>
      <w:numFmt w:val="lowerRoman"/>
      <w:start w:val="1"/>
    </w:lvl>
    <w:lvl w:ilvl="1">
      <w:lvlJc w:val="left"/>
      <w:lvlText w:val="(%2)"/>
      <w:numFmt w:val="decimal"/>
      <w:start w:val="1"/>
    </w:lvl>
  </w:abstractNum>
  <w:abstractNum w:abstractNumId="139">
    <w:nsid w:val="6B47F63E"/>
    <w:multiLevelType w:val="hybridMultilevel"/>
    <w:lvl w:ilvl="0">
      <w:lvlJc w:val="left"/>
      <w:lvlText w:val="%1"/>
      <w:numFmt w:val="lowerRoman"/>
      <w:start w:val="1"/>
    </w:lvl>
    <w:lvl w:ilvl="1">
      <w:lvlJc w:val="left"/>
      <w:lvlText w:val="(%2)"/>
      <w:numFmt w:val="decimal"/>
      <w:start w:val="3"/>
    </w:lvl>
  </w:abstractNum>
  <w:abstractNum w:abstractNumId="140">
    <w:nsid w:val="5CB44A05"/>
    <w:multiLevelType w:val="hybridMultilevel"/>
    <w:lvl w:ilvl="0">
      <w:lvlJc w:val="left"/>
      <w:lvlText w:val="%1."/>
      <w:numFmt w:val="lowerRoman"/>
      <w:start w:val="3"/>
    </w:lvl>
    <w:lvl w:ilvl="1">
      <w:lvlJc w:val="left"/>
      <w:lvlText w:val="(%2)"/>
      <w:numFmt w:val="decimal"/>
      <w:start w:val="1"/>
    </w:lvl>
  </w:abstractNum>
  <w:abstractNum w:abstractNumId="141">
    <w:nsid w:val="16CF80F1"/>
    <w:multiLevelType w:val="hybridMultilevel"/>
    <w:lvl w:ilvl="0">
      <w:lvlJc w:val="left"/>
      <w:lvlText w:val="%1)"/>
      <w:numFmt w:val="decimal"/>
      <w:start w:val="5"/>
    </w:lvl>
  </w:abstractNum>
  <w:abstractNum w:abstractNumId="142">
    <w:nsid w:val="1C695DEC"/>
    <w:multiLevelType w:val="hybridMultilevel"/>
    <w:lvl w:ilvl="0">
      <w:lvlJc w:val="left"/>
      <w:lvlText w:val="%1."/>
      <w:numFmt w:val="decimal"/>
      <w:start w:val="11"/>
    </w:lvl>
  </w:abstractNum>
  <w:abstractNum w:abstractNumId="143">
    <w:nsid w:val="3FCFAED9"/>
    <w:multiLevelType w:val="hybridMultilevel"/>
    <w:lvl w:ilvl="0">
      <w:lvlJc w:val="left"/>
      <w:lvlText w:val="•"/>
      <w:numFmt w:val="bullet"/>
      <w:start w:val="1"/>
    </w:lvl>
  </w:abstractNum>
  <w:abstractNum w:abstractNumId="144">
    <w:nsid w:val="F856867"/>
    <w:multiLevelType w:val="hybridMultilevel"/>
    <w:lvl w:ilvl="0">
      <w:lvlJc w:val="left"/>
      <w:lvlText w:val="(%1)"/>
      <w:numFmt w:val="decimal"/>
      <w:start w:val="1"/>
    </w:lvl>
  </w:abstractNum>
  <w:abstractNum w:abstractNumId="145">
    <w:nsid w:val="11B1CC33"/>
    <w:multiLevelType w:val="hybridMultilevel"/>
    <w:lvl w:ilvl="0">
      <w:lvlJc w:val="left"/>
      <w:lvlText w:val="%1."/>
      <w:numFmt w:val="decimal"/>
      <w:start w:val="12"/>
    </w:lvl>
  </w:abstractNum>
  <w:abstractNum w:abstractNumId="146">
    <w:nsid w:val="2E22FBB7"/>
    <w:multiLevelType w:val="hybridMultilevel"/>
    <w:lvl w:ilvl="0">
      <w:lvlJc w:val="left"/>
      <w:lvlText w:val="%1."/>
      <w:numFmt w:val="decimal"/>
      <w:start w:val="13"/>
    </w:lvl>
  </w:abstractNum>
  <w:abstractNum w:abstractNumId="147">
    <w:nsid w:val="29934699"/>
    <w:multiLevelType w:val="hybridMultilevel"/>
    <w:lvl w:ilvl="0">
      <w:lvlJc w:val="left"/>
      <w:lvlText w:val="(%1)"/>
      <w:numFmt w:val="lowerRoman"/>
      <w:start w:val="5"/>
    </w:lvl>
  </w:abstractNum>
  <w:abstractNum w:abstractNumId="148">
    <w:nsid w:val="77485850"/>
    <w:multiLevelType w:val="hybridMultilevel"/>
    <w:lvl w:ilvl="0">
      <w:lvlJc w:val="left"/>
      <w:lvlText w:val="%1."/>
      <w:numFmt w:val="decimal"/>
      <w:start w:val="14"/>
    </w:lvl>
  </w:abstractNum>
  <w:abstractNum w:abstractNumId="149">
    <w:nsid w:val="744939A3"/>
    <w:multiLevelType w:val="hybridMultilevel"/>
    <w:lvl w:ilvl="0">
      <w:lvlJc w:val="left"/>
      <w:lvlText w:val="%1."/>
      <w:numFmt w:val="decimal"/>
      <w:start w:val="15"/>
    </w:lvl>
  </w:abstractNum>
  <w:abstractNum w:abstractNumId="150">
    <w:nsid w:val="4FA0D2E3"/>
    <w:multiLevelType w:val="hybridMultilevel"/>
    <w:lvl w:ilvl="0">
      <w:lvlJc w:val="left"/>
      <w:lvlText w:val="%1."/>
      <w:numFmt w:val="decimal"/>
      <w:start w:val="1"/>
    </w:lvl>
  </w:abstractNum>
  <w:abstractNum w:abstractNumId="151">
    <w:nsid w:val="6B1D2C14"/>
    <w:multiLevelType w:val="hybridMultilevel"/>
    <w:lvl w:ilvl="0">
      <w:lvlJc w:val="left"/>
      <w:lvlText w:val="%1."/>
      <w:numFmt w:val="decimal"/>
      <w:start w:val="2"/>
    </w:lvl>
  </w:abstractNum>
  <w:abstractNum w:abstractNumId="152">
    <w:nsid w:val="68B867D3"/>
    <w:multiLevelType w:val="hybridMultilevel"/>
    <w:lvl w:ilvl="0">
      <w:lvlJc w:val="left"/>
      <w:lvlText w:val="(%1)"/>
      <w:numFmt w:val="lowerRoman"/>
      <w:start w:val="1"/>
    </w:lvl>
  </w:abstractNum>
  <w:abstractNum w:abstractNumId="153">
    <w:nsid w:val="3F7F5DD9"/>
    <w:multiLevelType w:val="hybridMultilevel"/>
    <w:lvl w:ilvl="0">
      <w:lvlJc w:val="left"/>
      <w:lvlText w:val="•"/>
      <w:numFmt w:val="bullet"/>
      <w:start w:val="1"/>
    </w:lvl>
  </w:abstractNum>
  <w:abstractNum w:abstractNumId="154">
    <w:nsid w:val="2AE05A34"/>
    <w:multiLevelType w:val="hybridMultilevel"/>
    <w:lvl w:ilvl="0">
      <w:lvlJc w:val="left"/>
      <w:lvlText w:val="%1."/>
      <w:numFmt w:val="decimal"/>
      <w:start w:val="3"/>
    </w:lvl>
  </w:abstractNum>
  <w:abstractNum w:abstractNumId="155">
    <w:nsid w:val="32794FF7"/>
    <w:multiLevelType w:val="hybridMultilevel"/>
    <w:lvl w:ilvl="0">
      <w:lvlJc w:val="left"/>
      <w:lvlText w:val="%1."/>
      <w:numFmt w:val="decimal"/>
      <w:start w:val="4"/>
    </w:lvl>
  </w:abstractNum>
  <w:abstractNum w:abstractNumId="156">
    <w:nsid w:val="5454945E"/>
    <w:multiLevelType w:val="hybridMultilevel"/>
    <w:lvl w:ilvl="0">
      <w:lvlJc w:val="left"/>
      <w:lvlText w:val="%1."/>
      <w:numFmt w:val="decimal"/>
      <w:start w:val="5"/>
    </w:lvl>
  </w:abstractNum>
  <w:abstractNum w:abstractNumId="157">
    <w:nsid w:val="4DEFDFA0"/>
    <w:multiLevelType w:val="hybridMultilevel"/>
    <w:lvl w:ilvl="0">
      <w:lvlJc w:val="left"/>
      <w:lvlText w:val="%1."/>
      <w:numFmt w:val="decimal"/>
      <w:start w:val="6"/>
    </w:lvl>
  </w:abstractNum>
  <w:abstractNum w:abstractNumId="158">
    <w:nsid w:val="2123D5F2"/>
    <w:multiLevelType w:val="hybridMultilevel"/>
    <w:lvl w:ilvl="0">
      <w:lvlJc w:val="left"/>
      <w:lvlText w:val="%1."/>
      <w:numFmt w:val="decimal"/>
      <w:start w:val="7"/>
    </w:lvl>
  </w:abstractNum>
  <w:abstractNum w:abstractNumId="159">
    <w:nsid w:val="135B8110"/>
    <w:multiLevelType w:val="hybridMultilevel"/>
    <w:lvl w:ilvl="0">
      <w:lvlJc w:val="left"/>
      <w:lvlText w:val="%1."/>
      <w:numFmt w:val="lowerRoman"/>
      <w:start w:val="1"/>
    </w:lvl>
    <w:lvl w:ilvl="1">
      <w:lvlJc w:val="left"/>
      <w:lvlText w:val="(%2)"/>
      <w:numFmt w:val="decimal"/>
      <w:start w:val="1"/>
    </w:lvl>
  </w:abstractNum>
  <w:abstractNum w:abstractNumId="160">
    <w:nsid w:val="94927A8"/>
    <w:multiLevelType w:val="hybridMultilevel"/>
    <w:lvl w:ilvl="0">
      <w:lvlJc w:val="left"/>
      <w:lvlText w:val="%1"/>
      <w:numFmt w:val="lowerRoman"/>
      <w:start w:val="1"/>
    </w:lvl>
    <w:lvl w:ilvl="1">
      <w:lvlJc w:val="left"/>
      <w:lvlText w:val="(%2)"/>
      <w:numFmt w:val="decimal"/>
      <w:start w:val="3"/>
    </w:lvl>
  </w:abstractNum>
  <w:abstractNum w:abstractNumId="161">
    <w:nsid w:val="DCDF8F6"/>
    <w:multiLevelType w:val="hybridMultilevel"/>
    <w:lvl w:ilvl="0">
      <w:lvlJc w:val="left"/>
      <w:lvlText w:val="%1."/>
      <w:numFmt w:val="lowerRoman"/>
      <w:start w:val="3"/>
    </w:lvl>
    <w:lvl w:ilvl="1">
      <w:lvlJc w:val="left"/>
      <w:lvlText w:val="(%2)"/>
      <w:numFmt w:val="decimal"/>
      <w:start w:val="1"/>
    </w:lvl>
  </w:abstractNum>
  <w:abstractNum w:abstractNumId="162">
    <w:nsid w:val="52D7B105"/>
    <w:multiLevelType w:val="hybridMultilevel"/>
    <w:lvl w:ilvl="0">
      <w:lvlJc w:val="left"/>
      <w:lvlText w:val="%1."/>
      <w:numFmt w:val="decimal"/>
      <w:start w:val="8"/>
    </w:lvl>
  </w:abstractNum>
  <w:abstractNum w:abstractNumId="163">
    <w:nsid w:val="2E8A6394"/>
    <w:multiLevelType w:val="hybridMultilevel"/>
    <w:lvl w:ilvl="0">
      <w:lvlJc w:val="left"/>
      <w:lvlText w:val="•"/>
      <w:numFmt w:val="bullet"/>
      <w:start w:val="1"/>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1."/>
      <w:numFmt w:val="decimal"/>
      <w:start w:val="9"/>
    </w:lvl>
  </w:abstractNum>
  <w:abstractNum w:abstractNumId="166">
    <w:nsid w:val="BAAC1B4"/>
    <w:multiLevelType w:val="hybridMultilevel"/>
    <w:lvl w:ilvl="0">
      <w:lvlJc w:val="left"/>
      <w:lvlText w:val="%1."/>
      <w:numFmt w:val="decimal"/>
      <w:start w:val="10"/>
    </w:lvl>
  </w:abstractNum>
  <w:abstractNum w:abstractNumId="167">
    <w:nsid w:val="36B2ACBC"/>
    <w:multiLevelType w:val="hybridMultilevel"/>
    <w:lvl w:ilvl="0">
      <w:lvlJc w:val="left"/>
      <w:lvlText w:val="(%1)"/>
      <w:numFmt w:val="lowerRoman"/>
      <w:start w:val="5"/>
    </w:lvl>
  </w:abstractNum>
  <w:abstractNum w:abstractNumId="168">
    <w:nsid w:val="779D8544"/>
    <w:multiLevelType w:val="hybridMultilevel"/>
    <w:lvl w:ilvl="0">
      <w:lvlJc w:val="left"/>
      <w:lvlText w:val="%1."/>
      <w:numFmt w:val="decimal"/>
      <w:start w:val="11"/>
    </w:lvl>
  </w:abstractNum>
  <w:abstractNum w:abstractNumId="169">
    <w:nsid w:val="4AB26E78"/>
    <w:multiLevelType w:val="hybridMultilevel"/>
    <w:lvl w:ilvl="0">
      <w:lvlJc w:val="left"/>
      <w:lvlText w:val="%1."/>
      <w:numFmt w:val="decimal"/>
      <w:start w:val="12"/>
    </w:lvl>
  </w:abstractNum>
  <w:abstractNum w:abstractNumId="170">
    <w:nsid w:val="21FAA2FA"/>
    <w:multiLevelType w:val="hybridMultilevel"/>
    <w:lvl w:ilvl="0">
      <w:lvlJc w:val="left"/>
      <w:lvlText w:val="•"/>
      <w:numFmt w:val="bullet"/>
      <w:start w:val="1"/>
    </w:lvl>
  </w:abstractNum>
  <w:abstractNum w:abstractNumId="171">
    <w:nsid w:val="5451CF49"/>
    <w:multiLevelType w:val="hybridMultilevel"/>
    <w:lvl w:ilvl="0">
      <w:lvlJc w:val="left"/>
      <w:lvlText w:val="•"/>
      <w:numFmt w:val="bullet"/>
      <w:start w:val="1"/>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lowerLetter"/>
      <w:start w:val="2"/>
    </w:lvl>
  </w:abstractNum>
  <w:abstractNum w:abstractNumId="174">
    <w:nsid w:val="14217E23"/>
    <w:multiLevelType w:val="hybridMultilevel"/>
    <w:lvl w:ilvl="0">
      <w:lvlJc w:val="left"/>
      <w:lvlText w:val="(%1)"/>
      <w:numFmt w:val="lowerLetter"/>
      <w:start w:val="1"/>
    </w:lvl>
  </w:abstractNum>
  <w:abstractNum w:abstractNumId="175">
    <w:nsid w:val="710757D0"/>
    <w:multiLevelType w:val="hybridMultilevel"/>
    <w:lvl w:ilvl="0">
      <w:lvlJc w:val="left"/>
      <w:lvlText w:val="%1"/>
      <w:numFmt w:val="decimal"/>
      <w:start w:val="107"/>
    </w:lvl>
  </w:abstractNum>
  <w:abstractNum w:abstractNumId="176">
    <w:nsid w:val="5015CD1A"/>
    <w:multiLevelType w:val="hybridMultilevel"/>
    <w:lvl w:ilvl="0">
      <w:lvlJc w:val="left"/>
      <w:lvlText w:val="*"/>
      <w:numFmt w:val="bullet"/>
      <w:start w:val="1"/>
    </w:lvl>
  </w:abstractNum>
  <w:abstractNum w:abstractNumId="177">
    <w:nsid w:val="424479DA"/>
    <w:multiLevelType w:val="hybridMultilevel"/>
    <w:lvl w:ilvl="0">
      <w:lvlJc w:val="left"/>
      <w:lvlText w:val="†"/>
      <w:numFmt w:val="bullet"/>
      <w:start w:val="1"/>
    </w:lvl>
  </w:abstractNum>
  <w:abstractNum w:abstractNumId="178">
    <w:nsid w:val="1A9A9E69"/>
    <w:multiLevelType w:val="hybridMultilevel"/>
    <w:lvl w:ilvl="0">
      <w:lvlJc w:val="left"/>
      <w:lvlText w:val="(%1)"/>
      <w:numFmt w:val="lowerLetter"/>
      <w:start w:val="2"/>
    </w:lvl>
  </w:abstractNum>
  <w:abstractNum w:abstractNumId="179">
    <w:nsid w:val="475E256A"/>
    <w:multiLevelType w:val="hybridMultilevel"/>
    <w:lvl w:ilvl="0">
      <w:lvlJc w:val="left"/>
      <w:lvlText w:val="(%1)"/>
      <w:numFmt w:val="lowerLetter"/>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91" Type="http://schemas.openxmlformats.org/officeDocument/2006/relationships/image" Target="media/image375.png"/><Relationship Id="rId403" Type="http://schemas.openxmlformats.org/officeDocument/2006/relationships/image" Target="media/image376.png"/><Relationship Id="rId404"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09" Type="http://schemas.openxmlformats.org/officeDocument/2006/relationships/image" Target="media/image382.png"/><Relationship Id="rId382" Type="http://schemas.openxmlformats.org/officeDocument/2006/relationships/hyperlink" Target="http://www.sec.gov/Archives/edgar/data/0002023658/000119312524214674/d821336dex11.htm" TargetMode="External"/><Relationship Id="rId383" Type="http://schemas.openxmlformats.org/officeDocument/2006/relationships/hyperlink" Target="http://www.sec.gov/Archives/edgar/data/0002023658/000119312524214674/d821336dex31.htm" TargetMode="External"/><Relationship Id="rId384" Type="http://schemas.openxmlformats.org/officeDocument/2006/relationships/hyperlink" Target="http://www.sec.gov/Archives/edgar/data/0002023658/000119312524214674/d821336dex32.htm" TargetMode="External"/><Relationship Id="rId385" Type="http://schemas.openxmlformats.org/officeDocument/2006/relationships/hyperlink" Target="http://www.sec.gov/Archives/edgar/data/2023658/000119312524205393/d821336dex33.htm" TargetMode="External"/><Relationship Id="rId386" Type="http://schemas.openxmlformats.org/officeDocument/2006/relationships/hyperlink" Target="http://www.sec.gov/Archives/edgar/data/0002023658/000119312524214674/d821336dex34.htm" TargetMode="External"/><Relationship Id="rId387" Type="http://schemas.openxmlformats.org/officeDocument/2006/relationships/hyperlink" Target="http://www.sec.gov/Archives/edgar/data/0002023658/000119312524214674/d821336dex41.htm" TargetMode="External"/><Relationship Id="rId388" Type="http://schemas.openxmlformats.org/officeDocument/2006/relationships/hyperlink" Target="http://www.sec.gov/Archives/edgar/data/2023658/000119312524205393/d821336dex42.htm" TargetMode="External"/><Relationship Id="rId389" Type="http://schemas.openxmlformats.org/officeDocument/2006/relationships/hyperlink" Target="http://www.sec.gov/Archives/edgar/data/2023658/000119312524205393/d821336dex101.htm" TargetMode="External"/><Relationship Id="rId390" Type="http://schemas.openxmlformats.org/officeDocument/2006/relationships/hyperlink" Target="http://www.sec.gov/Archives/edgar/data/0002023658/000119312524214674/d821336dex102.htm" TargetMode="External"/><Relationship Id="rId392" Type="http://schemas.openxmlformats.org/officeDocument/2006/relationships/hyperlink" Target="http://www.sec.gov/Archives/edgar/data/0002023658/000119312524214674/d821336dex103.htm" TargetMode="External"/><Relationship Id="rId393" Type="http://schemas.openxmlformats.org/officeDocument/2006/relationships/hyperlink" Target="http://www.sec.gov/Archives/edgar/data/0002023658/000119312524214674/d821336dex104.htm" TargetMode="External"/><Relationship Id="rId394" Type="http://schemas.openxmlformats.org/officeDocument/2006/relationships/hyperlink" Target="http://www.sec.gov/Archives/edgar/data/2023658/000119312524205393/d821336dex105.htm" TargetMode="External"/><Relationship Id="rId395" Type="http://schemas.openxmlformats.org/officeDocument/2006/relationships/hyperlink" Target="http://www.sec.gov/Archives/edgar/data/2023658/000119312524205393/d821336dex106.htm" TargetMode="External"/><Relationship Id="rId396" Type="http://schemas.openxmlformats.org/officeDocument/2006/relationships/hyperlink" Target="http://www.sec.gov/Archives/edgar/data/0002023658/000119312524214674/d821336dex107.htm" TargetMode="External"/><Relationship Id="rId397" Type="http://schemas.openxmlformats.org/officeDocument/2006/relationships/hyperlink" Target="http://www.sec.gov/Archives/edgar/data/2023658/000119312524205393/d821336dex108.htm" TargetMode="External"/><Relationship Id="rId398" Type="http://schemas.openxmlformats.org/officeDocument/2006/relationships/hyperlink" Target="http://www.sec.gov/Archives/edgar/data/2023658/000119312524205393/d821336dex109.htm" TargetMode="External"/><Relationship Id="rId399" Type="http://schemas.openxmlformats.org/officeDocument/2006/relationships/hyperlink" Target="http://www.sec.gov/Archives/edgar/data/2023658/000119312524205393/d821336dex1010.htm" TargetMode="External"/><Relationship Id="rId400" Type="http://schemas.openxmlformats.org/officeDocument/2006/relationships/hyperlink" Target="http://www.sec.gov/Archives/edgar/data/2023658/000119312524205393/d821336dex1011.htm" TargetMode="External"/><Relationship Id="rId401" Type="http://schemas.openxmlformats.org/officeDocument/2006/relationships/hyperlink" Target="http://www.sec.gov/Archives/edgar/data/2023658/000119312524205393/d821336dex211.htm" TargetMode="External"/><Relationship Id="rId402" Type="http://schemas.openxmlformats.org/officeDocument/2006/relationships/hyperlink" Target="http://www.sec.gov/Archives/edgar/data/2023658/000119312524205393/d821336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2024-09-11T15:54:50Z</dcterms:created>
  <dcterms:modified xsi:type="dcterms:W3CDTF">2024-09-11T15:54:50Z</dcterms:modified>
</cp:coreProperties>
</file>