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5947.xml.htm"/>
      <w:bookmarkStart w:id="1" w:name="kswkform4_17865659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Cohlhepp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BICARA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HUNTINGTON AVENUE, SUITE 703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Bicara Therapeutics Inc.</w:t>
              </w:r>
            </w:hyperlink>
            <w:r>
              <w:rPr/>
              <w:t xml:space="preserve"> [ </w:t>
            </w:r>
            <w:r>
              <w:rPr>
                <w:rFonts w:ascii="Times;serif" w:hAnsi="Times;serif"/>
                <w:color w:val="0000FF"/>
                <w:sz w:val="24"/>
                <w:shd w:fill="FFFFFF" w:val="clear"/>
              </w:rPr>
              <w:t>BCAX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3.7898</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200,391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27.9751</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181,641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3.7898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51,752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pursuant to a Rule 10b5-1 trading plan adopted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$27.56 to $28.41,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this option vest in sixteen equal quarterly installments following April 5, 2023,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Cohlhepp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4665" TargetMode="External"/><Relationship Id="rId5" Type="http://schemas.openxmlformats.org/officeDocument/2006/relationships/hyperlink" Target="http://www.sec.gov/cgi-bin/browse-edgar?action=getcompany&amp;CIK=0002023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3842</Characters>
  <CharactersWithSpaces>4459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