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6443d424b5.htm"/>
        <w:bookmarkStart w:id="1" w:name="ksd106443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As Filed Pursuant to Rule 424(b)(5)</w:t>
        <w:br/>
        <w:t xml:space="preserve">Registration No. 333-290707 </w:t>
      </w:r>
    </w:p>
    <w:p>
      <w:pPr>
        <w:pStyle w:val="TextBody"/>
        <w:bidi w:val="0"/>
        <w:spacing w:before="0" w:after="0"/>
        <w:jc w:val="left"/>
        <w:rPr/>
      </w:pPr>
      <w:r>
        <w:rPr/>
        <w:t> </w:t>
      </w:r>
    </w:p>
    <w:p>
      <w:pPr>
        <w:pStyle w:val="TextBody"/>
        <w:bidi w:val="0"/>
        <w:spacing w:before="0" w:after="0"/>
        <w:jc w:val="both"/>
        <w:rPr>
          <w:rFonts w:ascii="Arial Narrow" w:hAnsi="Arial Narrow"/>
          <w:b/>
          <w:color w:val="DE1A1E"/>
          <w:sz w:val="17"/>
        </w:rPr>
      </w:pPr>
      <w:r>
        <w:rPr>
          <w:rFonts w:ascii="Arial Narrow" w:hAnsi="Arial Narrow"/>
          <w:b/>
          <w:color w:val="DE1A1E"/>
          <w:sz w:val="17"/>
        </w:rPr>
        <w:t xml:space="preserve">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i/>
          <w:color w:val="DE1A1E"/>
          <w:sz w:val="24"/>
        </w:rPr>
      </w:pPr>
      <w:r>
        <w:rPr>
          <w:rFonts w:ascii="Times New Roman" w:hAnsi="Times New Roman"/>
          <w:i/>
          <w:color w:val="DE1A1E"/>
          <w:sz w:val="24"/>
        </w:rPr>
        <w:t xml:space="preserve">SUBJECT TO COMPLETION, DATED FEBRUARY 24, 2026 </w:t>
      </w:r>
    </w:p>
    <w:p>
      <w:pPr>
        <w:pStyle w:val="TextBody"/>
        <w:bidi w:val="0"/>
        <w:spacing w:before="120" w:after="0"/>
        <w:ind w:left="960" w:right="960" w:hanging="0"/>
        <w:jc w:val="left"/>
        <w:rPr>
          <w:rFonts w:ascii="Times New Roman" w:hAnsi="Times New Roman"/>
          <w:i/>
          <w:sz w:val="24"/>
        </w:rPr>
      </w:pPr>
      <w:r>
        <w:rPr>
          <w:rFonts w:ascii="Times New Roman" w:hAnsi="Times New Roman"/>
          <w:i/>
          <w:sz w:val="24"/>
        </w:rPr>
        <w:t xml:space="preserve">PROSPECTUS SUPPLEMENT </w:t>
      </w:r>
    </w:p>
    <w:p>
      <w:pPr>
        <w:pStyle w:val="TextBody"/>
        <w:bidi w:val="0"/>
        <w:spacing w:before="0" w:after="0"/>
        <w:ind w:left="960" w:right="960" w:hanging="0"/>
        <w:jc w:val="left"/>
        <w:rPr>
          <w:rFonts w:ascii="Times New Roman" w:hAnsi="Times New Roman"/>
          <w:i/>
          <w:sz w:val="24"/>
        </w:rPr>
      </w:pPr>
      <w:r>
        <w:rPr>
          <w:rFonts w:ascii="Times New Roman" w:hAnsi="Times New Roman"/>
          <w:i/>
          <w:sz w:val="24"/>
        </w:rPr>
        <w:t xml:space="preserve">(To Prospectus Dated November 26, 2025) </w:t>
      </w:r>
    </w:p>
    <w:p>
      <w:pPr>
        <w:pStyle w:val="TextBody"/>
        <w:bidi w:val="0"/>
        <w:spacing w:before="240" w:after="0"/>
        <w:ind w:left="960" w:right="960" w:hanging="0"/>
        <w:jc w:val="center"/>
        <w:rPr>
          <w:rFonts w:ascii="Times New Roman" w:hAnsi="Times New Roman"/>
          <w:i/>
          <w:sz w:val="36"/>
        </w:rPr>
      </w:pPr>
      <w:r>
        <w:rPr>
          <w:rFonts w:ascii="Times New Roman" w:hAnsi="Times New Roman"/>
          <w:i/>
          <w:sz w:val="36"/>
        </w:rPr>
        <w:t xml:space="preserve">$150,000,000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28470" cy="502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8470" cy="502920"/>
                    </a:xfrm>
                    <a:prstGeom prst="rect">
                      <a:avLst/>
                    </a:prstGeom>
                  </pic:spPr>
                </pic:pic>
              </a:graphicData>
            </a:graphic>
          </wp:inline>
        </w:drawing>
      </w:r>
      <w:r>
        <w:rPr/>
        <w:t xml:space="preserve"> </w:t>
      </w:r>
    </w:p>
    <w:p>
      <w:pPr>
        <w:pStyle w:val="TextBody"/>
        <w:bidi w:val="0"/>
        <w:spacing w:before="240" w:after="0"/>
        <w:ind w:left="960" w:right="960" w:hanging="0"/>
        <w:jc w:val="center"/>
        <w:rPr/>
      </w:pPr>
      <w:r>
        <w:rPr/>
        <w:t xml:space="preserve">    </w:t>
      </w:r>
      <w:r>
        <w:rPr>
          <w:rFonts w:ascii="Times New Roman" w:hAnsi="Times New Roman"/>
          <w:i/>
          <w:sz w:val="24"/>
        </w:rPr>
        <w:t xml:space="preserve">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rFonts w:ascii="Bodoni MT" w:hAnsi="Bodoni MT"/>
          <w:b/>
          <w:i/>
          <w:sz w:val="20"/>
        </w:rPr>
      </w:pPr>
      <w:r>
        <w:rPr>
          <w:rFonts w:ascii="Bodoni MT" w:hAnsi="Bodoni MT"/>
          <w:b/>
          <w:i/>
          <w:sz w:val="20"/>
        </w:rPr>
        <w:t xml:space="preserve">We are offering $150,000,000 of shares of our common stock, par value $0.0001 per share, in this offering. </w:t>
      </w:r>
    </w:p>
    <w:p>
      <w:pPr>
        <w:pStyle w:val="TextBody"/>
        <w:bidi w:val="0"/>
        <w:spacing w:before="240" w:after="0"/>
        <w:ind w:left="960" w:right="960" w:hanging="0"/>
        <w:jc w:val="both"/>
        <w:rPr>
          <w:rFonts w:ascii="Bodoni MT" w:hAnsi="Bodoni MT"/>
          <w:b/>
          <w:i/>
          <w:sz w:val="20"/>
        </w:rPr>
      </w:pPr>
      <w:r>
        <w:rPr>
          <w:rFonts w:ascii="Bodoni MT" w:hAnsi="Bodoni MT"/>
          <w:b/>
          <w:i/>
          <w:sz w:val="20"/>
        </w:rPr>
        <w:t xml:space="preserve">Our common stock is listed on The Nasdaq Global Market under the symbol “BCAX.” On February 23, 2026, the closing sale price of our common stock on The Nasdaq Global Market was $16.40 per share. </w:t>
      </w:r>
    </w:p>
    <w:p>
      <w:pPr>
        <w:pStyle w:val="TextBody"/>
        <w:bidi w:val="0"/>
        <w:spacing w:before="240" w:after="0"/>
        <w:ind w:left="960" w:right="960" w:hanging="0"/>
        <w:jc w:val="both"/>
        <w:rPr>
          <w:rFonts w:ascii="Bodoni MT" w:hAnsi="Bodoni MT"/>
          <w:b/>
          <w:i/>
          <w:sz w:val="20"/>
        </w:rPr>
      </w:pPr>
      <w:r>
        <w:rPr>
          <w:rFonts w:ascii="Bodoni MT" w:hAnsi="Bodoni MT"/>
          <w:b/>
          <w:i/>
          <w:sz w:val="20"/>
        </w:rPr>
        <w:t>We are an “emerging growth company” and a “smaller reporting company” under the federal securities laws and, as such, we have elected to comply with certain reduced public company reporting requirements for this prospectus and for future filings. See “Prospectus Supplement Summary—Implications of Being an Emerging Growth Company and a Smaller Reporting Company.”</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6535"/>
        <w:gridCol w:w="626"/>
        <w:gridCol w:w="73"/>
        <w:gridCol w:w="1060"/>
        <w:gridCol w:w="73"/>
        <w:gridCol w:w="626"/>
        <w:gridCol w:w="74"/>
        <w:gridCol w:w="1059"/>
        <w:gridCol w:w="79"/>
      </w:tblGrid>
      <w:tr>
        <w:trPr/>
        <w:tc>
          <w:tcPr>
            <w:tcW w:w="6535" w:type="dxa"/>
            <w:tcBorders/>
            <w:vAlign w:val="center"/>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3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left"/>
              <w:rPr/>
            </w:pPr>
            <w:r>
              <w:rPr/>
              <w:t>    </w:t>
            </w:r>
          </w:p>
        </w:tc>
        <w:tc>
          <w:tcPr>
            <w:tcW w:w="1133"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w:t>
              <w:br/>
              <w:t>Share</w:t>
            </w:r>
          </w:p>
        </w:tc>
        <w:tc>
          <w:tcPr>
            <w:tcW w:w="73"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left"/>
              <w:rPr/>
            </w:pPr>
            <w:r>
              <w:rPr/>
              <w:t>    </w:t>
            </w:r>
          </w:p>
        </w:tc>
        <w:tc>
          <w:tcPr>
            <w:tcW w:w="1133"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79" w:type="dxa"/>
            <w:tcBorders/>
            <w:vAlign w:val="bottom"/>
          </w:tcPr>
          <w:p>
            <w:pPr>
              <w:pStyle w:val="TableContents"/>
              <w:bidi w:val="0"/>
              <w:spacing w:before="0" w:after="283"/>
              <w:jc w:val="left"/>
              <w:rPr/>
            </w:pPr>
            <w:r>
              <w:rPr/>
              <w:t> </w:t>
            </w:r>
          </w:p>
        </w:tc>
      </w:tr>
      <w:tr>
        <w:trPr/>
        <w:tc>
          <w:tcPr>
            <w:tcW w:w="653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Public offering price</w:t>
            </w:r>
          </w:p>
        </w:tc>
        <w:tc>
          <w:tcPr>
            <w:tcW w:w="62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i/>
              </w:rPr>
            </w:pPr>
            <w:r>
              <w:rPr>
                <w:i/>
              </w:rPr>
              <w:t>$   </w:t>
            </w:r>
          </w:p>
        </w:tc>
        <w:tc>
          <w:tcPr>
            <w:tcW w:w="73"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i/>
              </w:rPr>
            </w:pPr>
            <w:r>
              <w:rPr>
                <w:i/>
              </w:rPr>
              <w:t>$   </w:t>
            </w:r>
          </w:p>
        </w:tc>
        <w:tc>
          <w:tcPr>
            <w:tcW w:w="79" w:type="dxa"/>
            <w:tcBorders/>
            <w:shd w:fill="CCEEFF" w:val="clear"/>
            <w:vAlign w:val="bottom"/>
          </w:tcPr>
          <w:p>
            <w:pPr>
              <w:pStyle w:val="TableContents"/>
              <w:bidi w:val="0"/>
              <w:spacing w:before="0" w:after="283"/>
              <w:jc w:val="left"/>
              <w:rPr/>
            </w:pPr>
            <w:r>
              <w:rPr/>
              <w:t> </w:t>
            </w:r>
          </w:p>
        </w:tc>
      </w:tr>
      <w:tr>
        <w:trPr/>
        <w:tc>
          <w:tcPr>
            <w:tcW w:w="6535" w:type="dxa"/>
            <w:tcBorders/>
          </w:tcPr>
          <w:p>
            <w:pPr>
              <w:pStyle w:val="TableContents"/>
              <w:bidi w:val="0"/>
              <w:spacing w:before="0" w:after="0"/>
              <w:jc w:val="left"/>
              <w:rPr>
                <w:rFonts w:ascii="Times New Roman" w:hAnsi="Times New Roman"/>
                <w:i/>
                <w:sz w:val="20"/>
              </w:rPr>
            </w:pPr>
            <w:r>
              <w:rPr>
                <w:rFonts w:ascii="Times New Roman" w:hAnsi="Times New Roman"/>
                <w:i/>
                <w:sz w:val="20"/>
              </w:rPr>
              <w:t>Underwriting discounts and commissions (1)</w:t>
            </w:r>
          </w:p>
        </w:tc>
        <w:tc>
          <w:tcPr>
            <w:tcW w:w="62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i/>
              </w:rPr>
            </w:pPr>
            <w:r>
              <w:rPr>
                <w:i/>
              </w:rPr>
              <w:t>$   </w:t>
            </w:r>
          </w:p>
        </w:tc>
        <w:tc>
          <w:tcPr>
            <w:tcW w:w="73"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i/>
              </w:rPr>
            </w:pPr>
            <w:r>
              <w:rPr>
                <w:i/>
              </w:rPr>
              <w:t>$   </w:t>
            </w:r>
          </w:p>
        </w:tc>
        <w:tc>
          <w:tcPr>
            <w:tcW w:w="79" w:type="dxa"/>
            <w:tcBorders/>
            <w:vAlign w:val="bottom"/>
          </w:tcPr>
          <w:p>
            <w:pPr>
              <w:pStyle w:val="TableContents"/>
              <w:bidi w:val="0"/>
              <w:spacing w:before="0" w:after="283"/>
              <w:jc w:val="left"/>
              <w:rPr/>
            </w:pPr>
            <w:r>
              <w:rPr/>
              <w:t> </w:t>
            </w:r>
          </w:p>
        </w:tc>
      </w:tr>
      <w:tr>
        <w:trPr/>
        <w:tc>
          <w:tcPr>
            <w:tcW w:w="653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Proceeds, before expenses, to us</w:t>
            </w:r>
          </w:p>
        </w:tc>
        <w:tc>
          <w:tcPr>
            <w:tcW w:w="62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i/>
              </w:rPr>
            </w:pPr>
            <w:r>
              <w:rPr>
                <w:i/>
              </w:rPr>
              <w:t>$   </w:t>
            </w:r>
          </w:p>
        </w:tc>
        <w:tc>
          <w:tcPr>
            <w:tcW w:w="73"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i/>
              </w:rPr>
            </w:pPr>
            <w:r>
              <w:rPr>
                <w:i/>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See the section of this prospectus supplement entitled “Underwriting” for a description of the compensation payable to the underwriters. </w:t>
            </w:r>
          </w:p>
        </w:tc>
      </w:tr>
    </w:tbl>
    <w:p>
      <w:pPr>
        <w:pStyle w:val="TextBody"/>
        <w:bidi w:val="0"/>
        <w:spacing w:before="240" w:after="0"/>
        <w:ind w:left="960" w:right="960" w:hanging="0"/>
        <w:jc w:val="both"/>
        <w:rPr>
          <w:rFonts w:ascii="Bodoni MT" w:hAnsi="Bodoni MT"/>
          <w:b/>
          <w:i/>
          <w:sz w:val="20"/>
        </w:rPr>
      </w:pPr>
      <w:r>
        <w:rPr>
          <w:rFonts w:ascii="Bodoni MT" w:hAnsi="Bodoni MT"/>
          <w:b/>
          <w:i/>
          <w:sz w:val="20"/>
        </w:rPr>
        <w:t xml:space="preserve">We have granted the underwriters an option to purchase up to an additional $22,500,000 of shares of our common stock from us at the public offering price, less underwriting discounts and commissions, within 30 days from the date of this prospectus supplement. If the underwriters exercise the option in full, the total underwriting discounts and commissions payable by us will be $     and the total proceeds to us, before expenses, will be $    . See “Underwriting” for more information.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pPr>
      <w:r>
        <w:rPr>
          <w:rFonts w:ascii="Times New Roman" w:hAnsi="Times New Roman"/>
          <w:b/>
          <w:i/>
          <w:sz w:val="24"/>
        </w:rPr>
        <w:t>Investing in our common stock involves a high degree of risk. See “</w:t>
      </w:r>
      <w:hyperlink w:anchor="supptoc106443_4">
        <w:r>
          <w:rPr>
            <w:rStyle w:val="InternetLink"/>
            <w:rFonts w:ascii="Times New Roman" w:hAnsi="Times New Roman"/>
            <w:b/>
            <w:i/>
            <w:sz w:val="24"/>
          </w:rPr>
          <w:t>Risk Factors</w:t>
        </w:r>
      </w:hyperlink>
      <w:r>
        <w:rPr>
          <w:rFonts w:ascii="Times New Roman" w:hAnsi="Times New Roman"/>
          <w:b/>
          <w:i/>
          <w:sz w:val="24"/>
        </w:rPr>
        <w:t xml:space="preserve">” beginning on page S-7 of this prospectus supplement and under similar headings in the other documents that are incorporated by reference into this prospectus supplement and the accompanying prospectus concerning factors you should consider before investing in our common stock. </w:t>
      </w:r>
    </w:p>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The underwriters expect to deliver the shares of common stock against payment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043"/>
        <w:gridCol w:w="101"/>
        <w:gridCol w:w="2859"/>
        <w:gridCol w:w="101"/>
        <w:gridCol w:w="1428"/>
        <w:gridCol w:w="101"/>
        <w:gridCol w:w="1022"/>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i/>
              </w:rPr>
            </w:pPr>
            <w:r>
              <w:rPr>
                <w:i/>
              </w:rPr>
              <w:t>TD Cowen</w:t>
            </w:r>
          </w:p>
        </w:tc>
        <w:tc>
          <w:tcPr>
            <w:tcW w:w="10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center"/>
              <w:rPr>
                <w:i/>
              </w:rPr>
            </w:pPr>
            <w:r>
              <w:rPr>
                <w:i/>
              </w:rPr>
              <w:t>BofA Securities</w:t>
            </w:r>
          </w:p>
        </w:tc>
        <w:tc>
          <w:tcPr>
            <w:tcW w:w="101"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center"/>
              <w:rPr>
                <w:i/>
              </w:rPr>
            </w:pPr>
            <w:r>
              <w:rPr>
                <w:i/>
              </w:rPr>
              <w:t>Cantor</w:t>
            </w:r>
          </w:p>
        </w:tc>
        <w:tc>
          <w:tcPr>
            <w:tcW w:w="101"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i/>
              </w:rPr>
            </w:pPr>
            <w:r>
              <w:rPr>
                <w:i/>
              </w:rPr>
              <w:t>Stifel</w:t>
            </w:r>
          </w:p>
        </w:tc>
      </w:tr>
    </w:tbl>
    <w:p>
      <w:pPr>
        <w:pStyle w:val="TextBody"/>
        <w:bidi w:val="0"/>
        <w:spacing w:before="240" w:after="0"/>
        <w:ind w:left="960" w:right="960" w:hanging="0"/>
        <w:jc w:val="both"/>
        <w:rPr/>
      </w:pPr>
      <w:r>
        <w:rPr/>
        <w:t>     </w:t>
      </w:r>
      <w:r>
        <w:rPr>
          <w:rFonts w:ascii="Times New Roman" w:hAnsi="Times New Roman"/>
          <w:i/>
          <w:sz w:val="20"/>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377126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377126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26"/>
                              <w:gridCol w:w="294"/>
                              <w:gridCol w:w="31"/>
                              <w:gridCol w:w="217"/>
                              <w:gridCol w:w="30"/>
                            </w:tblGrid>
                            <w:tr>
                              <w:trPr/>
                              <w:tc>
                                <w:tcPr>
                                  <w:tcW w:w="4326"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1">
                                    <w:r>
                                      <w:rPr>
                                        <w:rStyle w:val="InternetLink"/>
                                        <w:rFonts w:ascii="Times New Roman" w:hAnsi="Times New Roman"/>
                                        <w:b/>
                                        <w:sz w:val="20"/>
                                      </w:rPr>
                                      <w:t>ABOUT THIS PROSPECTUS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2">
                                    <w:r>
                                      <w:rPr>
                                        <w:rStyle w:val="InternetLink"/>
                                        <w:rFonts w:ascii="Times New Roman" w:hAnsi="Times New Roman"/>
                                        <w:b/>
                                        <w:sz w:val="20"/>
                                      </w:rPr>
                                      <w:t>SPECIAL NOTE REGARDING FORWARD-LOOKING STATEMENTS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3">
                                    <w:r>
                                      <w:rPr>
                                        <w:rStyle w:val="InternetLink"/>
                                        <w:rFonts w:ascii="Times New Roman" w:hAnsi="Times New Roman"/>
                                        <w:b/>
                                        <w:sz w:val="20"/>
                                      </w:rPr>
                                      <w:t>PROSPECTUS SUPPLEMENT SUMMARY</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4">
                                    <w:r>
                                      <w:rPr>
                                        <w:rStyle w:val="InternetLink"/>
                                        <w:rFonts w:ascii="Times New Roman" w:hAnsi="Times New Roman"/>
                                        <w:b/>
                                        <w:sz w:val="20"/>
                                      </w:rPr>
                                      <w:t>RISK FACTORS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5">
                                    <w:r>
                                      <w:rPr>
                                        <w:rStyle w:val="InternetLink"/>
                                        <w:rFonts w:ascii="Times New Roman" w:hAnsi="Times New Roman"/>
                                        <w:b/>
                                        <w:sz w:val="20"/>
                                      </w:rPr>
                                      <w:t>USE OF PROCEEDS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S-9</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6.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26"/>
                        <w:gridCol w:w="294"/>
                        <w:gridCol w:w="31"/>
                        <w:gridCol w:w="217"/>
                        <w:gridCol w:w="30"/>
                      </w:tblGrid>
                      <w:tr>
                        <w:trPr/>
                        <w:tc>
                          <w:tcPr>
                            <w:tcW w:w="4326"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1">
                              <w:r>
                                <w:rPr>
                                  <w:rStyle w:val="InternetLink"/>
                                  <w:rFonts w:ascii="Times New Roman" w:hAnsi="Times New Roman"/>
                                  <w:b/>
                                  <w:sz w:val="20"/>
                                </w:rPr>
                                <w:t>ABOUT THIS PROSPECTUS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S-ii</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2">
                              <w:r>
                                <w:rPr>
                                  <w:rStyle w:val="InternetLink"/>
                                  <w:rFonts w:ascii="Times New Roman" w:hAnsi="Times New Roman"/>
                                  <w:b/>
                                  <w:sz w:val="20"/>
                                </w:rPr>
                                <w:t>SPECIAL NOTE REGARDING FORWARD-LOOKING STATEMENTS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S-iv</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3">
                              <w:r>
                                <w:rPr>
                                  <w:rStyle w:val="InternetLink"/>
                                  <w:rFonts w:ascii="Times New Roman" w:hAnsi="Times New Roman"/>
                                  <w:b/>
                                  <w:sz w:val="20"/>
                                </w:rPr>
                                <w:t>PROSPECTUS SUPPLEMENT SUMMARY</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4">
                              <w:r>
                                <w:rPr>
                                  <w:rStyle w:val="InternetLink"/>
                                  <w:rFonts w:ascii="Times New Roman" w:hAnsi="Times New Roman"/>
                                  <w:b/>
                                  <w:sz w:val="20"/>
                                </w:rPr>
                                <w:t>RISK FACTORS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pPr>
                            <w:hyperlink w:anchor="supptoc106443_5">
                              <w:r>
                                <w:rPr>
                                  <w:rStyle w:val="InternetLink"/>
                                  <w:rFonts w:ascii="Times New Roman" w:hAnsi="Times New Roman"/>
                                  <w:b/>
                                  <w:sz w:val="20"/>
                                </w:rPr>
                                <w:t>USE OF PROCEEDS</w:t>
                              </w:r>
                            </w:hyperlink>
                          </w:p>
                        </w:tc>
                        <w:tc>
                          <w:tcPr>
                            <w:tcW w:w="294" w:type="dxa"/>
                            <w:tcBorders/>
                            <w:vAlign w:val="bottom"/>
                          </w:tcPr>
                          <w:p>
                            <w:pPr>
                              <w:pStyle w:val="TableContents"/>
                              <w:bidi w:val="0"/>
                              <w:spacing w:before="0" w:after="283"/>
                              <w:jc w:val="left"/>
                              <w:rPr/>
                            </w:pPr>
                            <w:r>
                              <w:rPr/>
                              <w:t>  </w:t>
                            </w:r>
                          </w:p>
                        </w:tc>
                        <w:tc>
                          <w:tcPr>
                            <w:tcW w:w="3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right"/>
                              <w:rPr/>
                            </w:pPr>
                            <w:r>
                              <w:rPr/>
                              <w:t>S-9</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5353050"/>
                <wp:effectExtent l="0" t="0" r="0" b="0"/>
                <wp:wrapSquare wrapText="right"/>
                <wp:docPr id="3" name="Frame2"/>
                <a:graphic xmlns:a="http://schemas.openxmlformats.org/drawingml/2006/main">
                  <a:graphicData uri="http://schemas.microsoft.com/office/word/2010/wordprocessingShape">
                    <wps:wsp>
                      <wps:cNvSpPr txBox="1"/>
                      <wps:spPr>
                        <a:xfrm>
                          <a:off x="0" y="0"/>
                          <a:ext cx="3175000" cy="535305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08"/>
                              <w:gridCol w:w="301"/>
                              <w:gridCol w:w="29"/>
                              <w:gridCol w:w="232"/>
                              <w:gridCol w:w="30"/>
                            </w:tblGrid>
                            <w:tr>
                              <w:trPr/>
                              <w:tc>
                                <w:tcPr>
                                  <w:tcW w:w="440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6">
                                    <w:r>
                                      <w:rPr>
                                        <w:rStyle w:val="InternetLink"/>
                                        <w:rFonts w:ascii="Times New Roman" w:hAnsi="Times New Roman"/>
                                        <w:b/>
                                        <w:sz w:val="20"/>
                                      </w:rPr>
                                      <w:t>DILUTION</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S-10</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7">
                                    <w:r>
                                      <w:rPr>
                                        <w:rStyle w:val="InternetLink"/>
                                        <w:rFonts w:ascii="Times New Roman" w:hAnsi="Times New Roman"/>
                                        <w:b/>
                                        <w:sz w:val="20"/>
                                      </w:rPr>
                                      <w:t>UNDERWRITING</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8">
                                    <w:r>
                                      <w:rPr>
                                        <w:rStyle w:val="InternetLink"/>
                                        <w:rFonts w:ascii="Times New Roman" w:hAnsi="Times New Roman"/>
                                        <w:b/>
                                        <w:sz w:val="20"/>
                                      </w:rPr>
                                      <w:t>LEGAL MATTERS</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9">
                                    <w:r>
                                      <w:rPr>
                                        <w:rStyle w:val="InternetLink"/>
                                        <w:rFonts w:ascii="Times New Roman" w:hAnsi="Times New Roman"/>
                                        <w:b/>
                                        <w:sz w:val="20"/>
                                      </w:rPr>
                                      <w:t>EXPERTS</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10">
                                    <w:r>
                                      <w:rPr>
                                        <w:rStyle w:val="InternetLink"/>
                                        <w:rFonts w:ascii="Times New Roman" w:hAnsi="Times New Roman"/>
                                        <w:b/>
                                        <w:sz w:val="20"/>
                                      </w:rPr>
                                      <w:t>WHERE YOU CAN FIND MORE INFORMATION</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11">
                                    <w:r>
                                      <w:rPr>
                                        <w:rStyle w:val="InternetLink"/>
                                        <w:rFonts w:ascii="Times New Roman" w:hAnsi="Times New Roman"/>
                                        <w:b/>
                                        <w:sz w:val="20"/>
                                      </w:rPr>
                                      <w:t>INCORPORATION OF CERTAIN INFORMATION BY REFERENCE</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1.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08"/>
                        <w:gridCol w:w="301"/>
                        <w:gridCol w:w="29"/>
                        <w:gridCol w:w="232"/>
                        <w:gridCol w:w="30"/>
                      </w:tblGrid>
                      <w:tr>
                        <w:trPr/>
                        <w:tc>
                          <w:tcPr>
                            <w:tcW w:w="440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6">
                              <w:r>
                                <w:rPr>
                                  <w:rStyle w:val="InternetLink"/>
                                  <w:rFonts w:ascii="Times New Roman" w:hAnsi="Times New Roman"/>
                                  <w:b/>
                                  <w:sz w:val="20"/>
                                </w:rPr>
                                <w:t>DILUTION</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S-10</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7">
                              <w:r>
                                <w:rPr>
                                  <w:rStyle w:val="InternetLink"/>
                                  <w:rFonts w:ascii="Times New Roman" w:hAnsi="Times New Roman"/>
                                  <w:b/>
                                  <w:sz w:val="20"/>
                                </w:rPr>
                                <w:t>UNDERWRITING</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S-12</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8">
                              <w:r>
                                <w:rPr>
                                  <w:rStyle w:val="InternetLink"/>
                                  <w:rFonts w:ascii="Times New Roman" w:hAnsi="Times New Roman"/>
                                  <w:b/>
                                  <w:sz w:val="20"/>
                                </w:rPr>
                                <w:t>LEGAL MATTERS</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9">
                              <w:r>
                                <w:rPr>
                                  <w:rStyle w:val="InternetLink"/>
                                  <w:rFonts w:ascii="Times New Roman" w:hAnsi="Times New Roman"/>
                                  <w:b/>
                                  <w:sz w:val="20"/>
                                </w:rPr>
                                <w:t>EXPERTS</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10">
                              <w:r>
                                <w:rPr>
                                  <w:rStyle w:val="InternetLink"/>
                                  <w:rFonts w:ascii="Times New Roman" w:hAnsi="Times New Roman"/>
                                  <w:b/>
                                  <w:sz w:val="20"/>
                                </w:rPr>
                                <w:t>WHERE YOU CAN FIND MORE INFORMATION</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S-21</w:t>
                            </w:r>
                          </w:p>
                        </w:tc>
                        <w:tc>
                          <w:tcPr>
                            <w:tcW w:w="30" w:type="dxa"/>
                            <w:tcBorders/>
                            <w:vAlign w:val="bottom"/>
                          </w:tcPr>
                          <w:p>
                            <w:pPr>
                              <w:pStyle w:val="TableContents"/>
                              <w:bidi w:val="0"/>
                              <w:spacing w:before="0" w:after="283"/>
                              <w:jc w:val="left"/>
                              <w:rPr/>
                            </w:pPr>
                            <w:r>
                              <w:rPr/>
                              <w:t> </w:t>
                            </w:r>
                          </w:p>
                        </w:tc>
                      </w:tr>
                      <w:tr>
                        <w:trPr/>
                        <w:tc>
                          <w:tcPr>
                            <w:tcW w:w="4408" w:type="dxa"/>
                            <w:tcBorders/>
                          </w:tcPr>
                          <w:p>
                            <w:pPr>
                              <w:pStyle w:val="TableContents"/>
                              <w:bidi w:val="0"/>
                              <w:spacing w:before="0" w:after="0"/>
                              <w:jc w:val="left"/>
                              <w:rPr/>
                            </w:pPr>
                            <w:hyperlink w:anchor="supptoc106443_11">
                              <w:r>
                                <w:rPr>
                                  <w:rStyle w:val="InternetLink"/>
                                  <w:rFonts w:ascii="Times New Roman" w:hAnsi="Times New Roman"/>
                                  <w:b/>
                                  <w:sz w:val="20"/>
                                </w:rPr>
                                <w:t>INCORPORATION OF CERTAIN INFORMATION BY REFERENCE</w:t>
                              </w:r>
                            </w:hyperlink>
                          </w:p>
                        </w:tc>
                        <w:tc>
                          <w:tcPr>
                            <w:tcW w:w="30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pPr>
                            <w:r>
                              <w:rPr/>
                              <w:t>S-22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3749675"/>
                <wp:effectExtent l="0" t="0" r="0" b="0"/>
                <wp:wrapSquare wrapText="right"/>
                <wp:docPr id="4" name="Frame3"/>
                <a:graphic xmlns:a="http://schemas.openxmlformats.org/drawingml/2006/main">
                  <a:graphicData uri="http://schemas.microsoft.com/office/word/2010/wordprocessingShape">
                    <wps:wsp>
                      <wps:cNvSpPr txBox="1"/>
                      <wps:spPr>
                        <a:xfrm>
                          <a:off x="0" y="0"/>
                          <a:ext cx="3110230" cy="374967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27"/>
                              <w:gridCol w:w="284"/>
                              <w:gridCol w:w="29"/>
                              <w:gridCol w:w="128"/>
                              <w:gridCol w:w="30"/>
                            </w:tblGrid>
                            <w:tr>
                              <w:trPr/>
                              <w:tc>
                                <w:tcPr>
                                  <w:tcW w:w="442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bidi w:val="0"/>
                                    <w:spacing w:before="0" w:after="0"/>
                                    <w:jc w:val="left"/>
                                    <w:rPr/>
                                  </w:pPr>
                                  <w:hyperlink w:anchor="toc106443_1">
                                    <w:r>
                                      <w:rPr>
                                        <w:rStyle w:val="InternetLink"/>
                                        <w:rFonts w:ascii="Times New Roman" w:hAnsi="Times New Roman"/>
                                        <w:b/>
                                        <w:sz w:val="20"/>
                                      </w:rPr>
                                      <w:t>ABOUT THIS PROSPECTUS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2">
                                    <w:r>
                                      <w:rPr>
                                        <w:rStyle w:val="InternetLink"/>
                                        <w:rFonts w:ascii="Times New Roman" w:hAnsi="Times New Roman"/>
                                        <w:b/>
                                        <w:sz w:val="20"/>
                                      </w:rPr>
                                      <w:t>RISK FACTORS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3">
                                    <w:r>
                                      <w:rPr>
                                        <w:rStyle w:val="InternetLink"/>
                                        <w:rFonts w:ascii="Times New Roman" w:hAnsi="Times New Roman"/>
                                        <w:b/>
                                        <w:sz w:val="20"/>
                                      </w:rPr>
                                      <w:t>SPECIAL NOTE REGARDING FORWARD-LOOKING STATEMENTS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4">
                                    <w:r>
                                      <w:rPr>
                                        <w:rStyle w:val="InternetLink"/>
                                        <w:rFonts w:ascii="Times New Roman" w:hAnsi="Times New Roman"/>
                                        <w:b/>
                                        <w:sz w:val="20"/>
                                      </w:rPr>
                                      <w:t>OUR COMPANY</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5">
                                    <w:r>
                                      <w:rPr>
                                        <w:rStyle w:val="InternetLink"/>
                                        <w:rFonts w:ascii="Times New Roman" w:hAnsi="Times New Roman"/>
                                        <w:b/>
                                        <w:sz w:val="20"/>
                                      </w:rPr>
                                      <w:t>USE OF PROCEEDS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6">
                                    <w:r>
                                      <w:rPr>
                                        <w:rStyle w:val="InternetLink"/>
                                        <w:rFonts w:ascii="Times New Roman" w:hAnsi="Times New Roman"/>
                                        <w:b/>
                                        <w:sz w:val="20"/>
                                      </w:rPr>
                                      <w:t>SECURITIES THAT MAY BE OFFERED</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9</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7">
                                    <w:r>
                                      <w:rPr>
                                        <w:rStyle w:val="InternetLink"/>
                                        <w:rFonts w:ascii="Times New Roman" w:hAnsi="Times New Roman"/>
                                        <w:b/>
                                        <w:sz w:val="20"/>
                                      </w:rPr>
                                      <w:t>DESCRIPTION OF CAPITAL STOCK</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8">
                                    <w:r>
                                      <w:rPr>
                                        <w:rStyle w:val="InternetLink"/>
                                        <w:rFonts w:ascii="Times New Roman" w:hAnsi="Times New Roman"/>
                                        <w:b/>
                                        <w:sz w:val="20"/>
                                      </w:rPr>
                                      <w:t>DESCRIPTION OF DEBT SECURITIES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15</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27"/>
                        <w:gridCol w:w="284"/>
                        <w:gridCol w:w="29"/>
                        <w:gridCol w:w="128"/>
                        <w:gridCol w:w="30"/>
                      </w:tblGrid>
                      <w:tr>
                        <w:trPr/>
                        <w:tc>
                          <w:tcPr>
                            <w:tcW w:w="442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bidi w:val="0"/>
                              <w:spacing w:before="0" w:after="0"/>
                              <w:jc w:val="left"/>
                              <w:rPr/>
                            </w:pPr>
                            <w:hyperlink w:anchor="toc106443_1">
                              <w:r>
                                <w:rPr>
                                  <w:rStyle w:val="InternetLink"/>
                                  <w:rFonts w:ascii="Times New Roman" w:hAnsi="Times New Roman"/>
                                  <w:b/>
                                  <w:sz w:val="20"/>
                                </w:rPr>
                                <w:t>ABOUT THIS PROSPECTUS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2">
                              <w:r>
                                <w:rPr>
                                  <w:rStyle w:val="InternetLink"/>
                                  <w:rFonts w:ascii="Times New Roman" w:hAnsi="Times New Roman"/>
                                  <w:b/>
                                  <w:sz w:val="20"/>
                                </w:rPr>
                                <w:t>RISK FACTORS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3">
                              <w:r>
                                <w:rPr>
                                  <w:rStyle w:val="InternetLink"/>
                                  <w:rFonts w:ascii="Times New Roman" w:hAnsi="Times New Roman"/>
                                  <w:b/>
                                  <w:sz w:val="20"/>
                                </w:rPr>
                                <w:t>SPECIAL NOTE REGARDING FORWARD-LOOKING STATEMENTS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4">
                              <w:r>
                                <w:rPr>
                                  <w:rStyle w:val="InternetLink"/>
                                  <w:rFonts w:ascii="Times New Roman" w:hAnsi="Times New Roman"/>
                                  <w:b/>
                                  <w:sz w:val="20"/>
                                </w:rPr>
                                <w:t>OUR COMPANY</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5">
                              <w:r>
                                <w:rPr>
                                  <w:rStyle w:val="InternetLink"/>
                                  <w:rFonts w:ascii="Times New Roman" w:hAnsi="Times New Roman"/>
                                  <w:b/>
                                  <w:sz w:val="20"/>
                                </w:rPr>
                                <w:t>USE OF PROCEEDS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6">
                              <w:r>
                                <w:rPr>
                                  <w:rStyle w:val="InternetLink"/>
                                  <w:rFonts w:ascii="Times New Roman" w:hAnsi="Times New Roman"/>
                                  <w:b/>
                                  <w:sz w:val="20"/>
                                </w:rPr>
                                <w:t>SECURITIES THAT MAY BE OFFERED</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9</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7">
                              <w:r>
                                <w:rPr>
                                  <w:rStyle w:val="InternetLink"/>
                                  <w:rFonts w:ascii="Times New Roman" w:hAnsi="Times New Roman"/>
                                  <w:b/>
                                  <w:sz w:val="20"/>
                                </w:rPr>
                                <w:t>DESCRIPTION OF CAPITAL STOCK</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pPr>
                            <w:hyperlink w:anchor="toc106443_8">
                              <w:r>
                                <w:rPr>
                                  <w:rStyle w:val="InternetLink"/>
                                  <w:rFonts w:ascii="Times New Roman" w:hAnsi="Times New Roman"/>
                                  <w:b/>
                                  <w:sz w:val="20"/>
                                </w:rPr>
                                <w:t>DESCRIPTION OF DEBT SECURITIES</w:t>
                              </w:r>
                            </w:hyperlink>
                          </w:p>
                        </w:tc>
                        <w:tc>
                          <w:tcPr>
                            <w:tcW w:w="284"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right"/>
                              <w:rPr/>
                            </w:pPr>
                            <w:r>
                              <w:rPr/>
                              <w:t>15</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4625975"/>
                <wp:effectExtent l="0" t="0" r="0" b="0"/>
                <wp:wrapSquare wrapText="right"/>
                <wp:docPr id="5" name="Frame4"/>
                <a:graphic xmlns:a="http://schemas.openxmlformats.org/drawingml/2006/main">
                  <a:graphicData uri="http://schemas.microsoft.com/office/word/2010/wordprocessingShape">
                    <wps:wsp>
                      <wps:cNvSpPr txBox="1"/>
                      <wps:spPr>
                        <a:xfrm>
                          <a:off x="0" y="0"/>
                          <a:ext cx="3175000" cy="462597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513"/>
                              <w:gridCol w:w="296"/>
                              <w:gridCol w:w="30"/>
                              <w:gridCol w:w="130"/>
                              <w:gridCol w:w="31"/>
                            </w:tblGrid>
                            <w:tr>
                              <w:trPr/>
                              <w:tc>
                                <w:tcPr>
                                  <w:tcW w:w="45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513" w:type="dxa"/>
                                  <w:tcBorders/>
                                </w:tcPr>
                                <w:p>
                                  <w:pPr>
                                    <w:pStyle w:val="TableContents"/>
                                    <w:bidi w:val="0"/>
                                    <w:spacing w:before="0" w:after="0"/>
                                    <w:jc w:val="left"/>
                                    <w:rPr/>
                                  </w:pPr>
                                  <w:hyperlink w:anchor="toc106443_9">
                                    <w:r>
                                      <w:rPr>
                                        <w:rStyle w:val="InternetLink"/>
                                        <w:rFonts w:ascii="Times New Roman" w:hAnsi="Times New Roman"/>
                                        <w:b/>
                                        <w:sz w:val="20"/>
                                      </w:rPr>
                                      <w:t>DESCRIPTION OF WARRANTS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21</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0">
                                    <w:r>
                                      <w:rPr>
                                        <w:rStyle w:val="InternetLink"/>
                                        <w:rFonts w:ascii="Times New Roman" w:hAnsi="Times New Roman"/>
                                        <w:b/>
                                        <w:sz w:val="20"/>
                                      </w:rPr>
                                      <w:t>DESCRIPTION OF UNITS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1">
                                    <w:r>
                                      <w:rPr>
                                        <w:rStyle w:val="InternetLink"/>
                                        <w:rFonts w:ascii="Times New Roman" w:hAnsi="Times New Roman"/>
                                        <w:b/>
                                        <w:sz w:val="20"/>
                                      </w:rPr>
                                      <w:t>MATERIAL U.S. FEDERAL INCOME TAX CONSIDERATIONS FOR NON-U.S. HOLDERS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25</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2">
                                    <w:r>
                                      <w:rPr>
                                        <w:rStyle w:val="InternetLink"/>
                                        <w:rFonts w:ascii="Times New Roman" w:hAnsi="Times New Roman"/>
                                        <w:b/>
                                        <w:sz w:val="20"/>
                                      </w:rPr>
                                      <w:t>PLAN OF DISTRIBUTION</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29</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3">
                                    <w:r>
                                      <w:rPr>
                                        <w:rStyle w:val="InternetLink"/>
                                        <w:rFonts w:ascii="Times New Roman" w:hAnsi="Times New Roman"/>
                                        <w:b/>
                                        <w:sz w:val="20"/>
                                      </w:rPr>
                                      <w:t>LEGAL MATTERS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4">
                                    <w:r>
                                      <w:rPr>
                                        <w:rStyle w:val="InternetLink"/>
                                        <w:rFonts w:ascii="Times New Roman" w:hAnsi="Times New Roman"/>
                                        <w:b/>
                                        <w:sz w:val="20"/>
                                      </w:rPr>
                                      <w:t>EXPERTS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5">
                                    <w:r>
                                      <w:rPr>
                                        <w:rStyle w:val="InternetLink"/>
                                        <w:rFonts w:ascii="Times New Roman" w:hAnsi="Times New Roman"/>
                                        <w:b/>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6">
                                    <w:r>
                                      <w:rPr>
                                        <w:rStyle w:val="InternetLink"/>
                                        <w:rFonts w:ascii="Times New Roman" w:hAnsi="Times New Roman"/>
                                        <w:b/>
                                        <w:sz w:val="20"/>
                                      </w:rPr>
                                      <w:t>INCORPORATION BY REFERENCE</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33</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4.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513"/>
                        <w:gridCol w:w="296"/>
                        <w:gridCol w:w="30"/>
                        <w:gridCol w:w="130"/>
                        <w:gridCol w:w="31"/>
                      </w:tblGrid>
                      <w:tr>
                        <w:trPr/>
                        <w:tc>
                          <w:tcPr>
                            <w:tcW w:w="45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4513" w:type="dxa"/>
                            <w:tcBorders/>
                          </w:tcPr>
                          <w:p>
                            <w:pPr>
                              <w:pStyle w:val="TableContents"/>
                              <w:bidi w:val="0"/>
                              <w:spacing w:before="0" w:after="0"/>
                              <w:jc w:val="left"/>
                              <w:rPr/>
                            </w:pPr>
                            <w:hyperlink w:anchor="toc106443_9">
                              <w:r>
                                <w:rPr>
                                  <w:rStyle w:val="InternetLink"/>
                                  <w:rFonts w:ascii="Times New Roman" w:hAnsi="Times New Roman"/>
                                  <w:b/>
                                  <w:sz w:val="20"/>
                                </w:rPr>
                                <w:t>DESCRIPTION OF WARRANTS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21</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0">
                              <w:r>
                                <w:rPr>
                                  <w:rStyle w:val="InternetLink"/>
                                  <w:rFonts w:ascii="Times New Roman" w:hAnsi="Times New Roman"/>
                                  <w:b/>
                                  <w:sz w:val="20"/>
                                </w:rPr>
                                <w:t>DESCRIPTION OF UNITS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1">
                              <w:r>
                                <w:rPr>
                                  <w:rStyle w:val="InternetLink"/>
                                  <w:rFonts w:ascii="Times New Roman" w:hAnsi="Times New Roman"/>
                                  <w:b/>
                                  <w:sz w:val="20"/>
                                </w:rPr>
                                <w:t>MATERIAL U.S. FEDERAL INCOME TAX CONSIDERATIONS FOR NON-U.S. HOLDERS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25</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2">
                              <w:r>
                                <w:rPr>
                                  <w:rStyle w:val="InternetLink"/>
                                  <w:rFonts w:ascii="Times New Roman" w:hAnsi="Times New Roman"/>
                                  <w:b/>
                                  <w:sz w:val="20"/>
                                </w:rPr>
                                <w:t>PLAN OF DISTRIBUTION</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29</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3">
                              <w:r>
                                <w:rPr>
                                  <w:rStyle w:val="InternetLink"/>
                                  <w:rFonts w:ascii="Times New Roman" w:hAnsi="Times New Roman"/>
                                  <w:b/>
                                  <w:sz w:val="20"/>
                                </w:rPr>
                                <w:t>LEGAL MATTERS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4">
                              <w:r>
                                <w:rPr>
                                  <w:rStyle w:val="InternetLink"/>
                                  <w:rFonts w:ascii="Times New Roman" w:hAnsi="Times New Roman"/>
                                  <w:b/>
                                  <w:sz w:val="20"/>
                                </w:rPr>
                                <w:t>EXPERTS</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5">
                              <w:r>
                                <w:rPr>
                                  <w:rStyle w:val="InternetLink"/>
                                  <w:rFonts w:ascii="Times New Roman" w:hAnsi="Times New Roman"/>
                                  <w:b/>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32</w:t>
                            </w:r>
                          </w:p>
                        </w:tc>
                        <w:tc>
                          <w:tcPr>
                            <w:tcW w:w="31" w:type="dxa"/>
                            <w:tcBorders/>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pPr>
                            <w:hyperlink w:anchor="toc106443_16">
                              <w:r>
                                <w:rPr>
                                  <w:rStyle w:val="InternetLink"/>
                                  <w:rFonts w:ascii="Times New Roman" w:hAnsi="Times New Roman"/>
                                  <w:b/>
                                  <w:sz w:val="20"/>
                                </w:rPr>
                                <w:t>INCORPORATION BY REFERENCE</w:t>
                              </w:r>
                            </w:hyperlink>
                          </w:p>
                        </w:tc>
                        <w:tc>
                          <w:tcPr>
                            <w:tcW w:w="296"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right"/>
                              <w:rPr/>
                            </w:pPr>
                            <w:r>
                              <w:rPr/>
                              <w:t>33</w:t>
                            </w:r>
                          </w:p>
                        </w:tc>
                        <w:tc>
                          <w:tcPr>
                            <w:tcW w:w="31"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06443_1"/>
      <w:bookmarkEnd w:id="3"/>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is part of a “shelf” registration statement on Form S-3 that we filed with the U.S. Securities and Exchange Commission (the “SEC”) and is in two parts. The first part is this prospectus supplement, which describes the specific terms of this offering of shares of common stock and also adds to and updates information contained in the accompanying prospectus and the documents incorporated by reference into this prospectus supplement and the accompanying prospectus. The second part, the accompanying prospectus dated November 26, 2025, including the documents incorporated by reference into it, provides more general information. Generally, when we refer to this “prospectus supplement,” we are referring to both parts of this document combined. </w:t>
      </w:r>
    </w:p>
    <w:p>
      <w:pPr>
        <w:pStyle w:val="TextBody"/>
        <w:bidi w:val="0"/>
        <w:spacing w:before="240" w:after="0"/>
        <w:jc w:val="both"/>
        <w:rPr>
          <w:rFonts w:ascii="Times New Roman" w:hAnsi="Times New Roman"/>
          <w:sz w:val="20"/>
        </w:rPr>
      </w:pPr>
      <w:r>
        <w:rPr>
          <w:rFonts w:ascii="Times New Roman" w:hAnsi="Times New Roman"/>
          <w:sz w:val="20"/>
        </w:rPr>
        <w:t xml:space="preserve">Before buying any of the shares of our common stock offered hereby, we urge you to read carefully this prospectus supplement and the accompanying prospectus and all of the information incorporated by reference herein and therein, as well as the additional information described below under the headings “Where You Can Find More Information” and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both"/>
        <w:rPr>
          <w:rFonts w:ascii="Times New Roman" w:hAnsi="Times New Roman"/>
          <w:sz w:val="20"/>
        </w:rPr>
      </w:pPr>
      <w:r>
        <w:rPr>
          <w:rFonts w:ascii="Times New Roman" w:hAnsi="Times New Roman"/>
          <w:sz w:val="20"/>
        </w:rPr>
        <w:t xml:space="preserve">We have not, and the underwriters have not, authorized anyone to provide you with information other than the information that we have provided or incorporated by reference in this prospectus supplement or the accompanying prospectus and your reliance on any unauthorized information or representation is at your own risk. We and the underwriters take no responsibility for, and can provide no assurance as to the reliability of, any other information that others may give you.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 </w:t>
      </w:r>
    </w:p>
    <w:p>
      <w:pPr>
        <w:pStyle w:val="TextBody"/>
        <w:bidi w:val="0"/>
        <w:spacing w:before="240" w:after="0"/>
        <w:jc w:val="both"/>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used in this prospectus supplement, unless the context otherwise requires, references to the terms “Bicara,” “Bicara Therapeutics,” “the Company,” “we,” “us” and “our,” and similar designations refer to Bicara Therapeutics Inc. and, where appropriate, our wholly-owned subsidiary. </w:t>
      </w:r>
    </w:p>
    <w:p>
      <w:pPr>
        <w:pStyle w:val="TextBody"/>
        <w:bidi w:val="0"/>
        <w:spacing w:before="240" w:after="0"/>
        <w:jc w:val="both"/>
        <w:rPr>
          <w:rFonts w:ascii="Times New Roman" w:hAnsi="Times New Roman"/>
          <w:sz w:val="20"/>
        </w:rPr>
      </w:pPr>
      <w:r>
        <w:rPr>
          <w:rFonts w:ascii="Times New Roman" w:hAnsi="Times New Roman"/>
          <w:sz w:val="20"/>
        </w:rPr>
        <w:t xml:space="preserve">We intend to apply for various trademarks that we use in connection with the operation of our business. This prospectus supplement may also contain trademarks, service marks and trade names of third parties, which are the property of their respective owners. Our use or display of third parties’ trademarks, service marks, trade names or products in this prospectus supplement is not intended to, and does not imply a relationship with, or endorsement or sponsorship by us. Solely for convenience, the trademarks, service marks and trade names referred to in this prospectus supplement may appear without the ®, SM and  symbols, but the omission of such references is not intended to indicate, in any way, that we will not assert, to the fullest extent under applicable law, our rights or the right of the applicable owner of these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106443_2"/>
      <w:bookmarkEnd w:id="4"/>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including the documents that we incorporate by reference herein,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or the negative of these words or other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progress, results and cost of ficerafusp alfa, including the FORTIFI-HN01 pivotal Phase 2/3 trial, or FORTIFI-HN01, a trial in head and neck squamous cell carcinoma (“HNSCC”), and the expansion cohorts of our Phase 1/1b trial in additional HNSCC patient populations and metastatic colorectal cancer, as well as our research and development programs and any future preclinical and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and the potential to secure pembrolizumab for our clinical trials and successfully manufacture our drug substances and ficerafusp alfa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clinical trials to demonstrate safety and efficacy of ficerafusp alfa,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beneficial characteristics, and the potential safety, efficacy and therapeutic effects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ficerafusp alfa with a loading and every-three-week maintenance schedule and the timing of potential regulatory alignment;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scope and likelihood of regulatory filings and approvals, for ficerafusp alfa and future product candidates, including the timing of Investigational New Drug applications, and U.S. Food and Drug Administration approval of ficerafusp alfa or any future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scope or likelihood of foreign regulatory filings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estimates of the number of patients that we will enroll and our ability to initiate, recruit and enroll patients in and conduct and successfully complete our clinical trials at the pace that we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and further develop the specific shipping, storage, handling and administration of ficerafusp alfa at the clinical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regulatory approval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and plans to commercialize ficerafusp alfa, if approved, including potential pricing and reimbursement;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strategic plans for our business, ficerafusp alfa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protection we are able to establish and maintain for intellectual property rights covering ficerafusp alfa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our future expenses, revenues and capital requirements, our needs for additional financing and ability to raise capital, including under our “at-the-market” offering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agreements with third parties in connection with the development and commercialization of ficerafusp alfa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and growth potential of the markets for ficerafusp alfa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rate and degree of market acceptance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in the U.S., Canada, European Union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produce our products or ficerafusp alfa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competing therapies that are or may become available and ficerafusp alfa’s differentiation from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anticipated use of our existing cash, cash equivalents and investments;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anticipated use of net proceeds from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such third parties generally indicate that their information is from sources believed to be reliable, their estimates, in particular, as they relate to projections, involve numerous assumptions, are subject to risks and uncertainties and are subject to change based on various factors. We are responsible for all of the disclosure contained in this prospectus supplement and the accompanying prospectus, and we believe that these sources are reliable; however, we have not independently verified the information contained in such publications.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You should read this prospectus supplement, the accompanying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forward-looking statements involve numerous assumptions, are subject to risks and uncertainties and are subject to change based on various factors, including those discussed under Part I, Item 1A “Risk Factors” and elsewhere in our most recent Annual Report on Form 10-K and our subsequent Quarterly Reports on Form 10-Q, and the section of the accompanying prospectus entitled “Risk Factors”, as well as in other filings made with the SEC subsequent to the date hereof that are incorporated by reference herein.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06443_3"/>
      <w:bookmarkEnd w:id="5"/>
      <w:r>
        <w:rPr>
          <w:rFonts w:ascii="Times New Roman" w:hAnsi="Times New Roman"/>
          <w:b/>
          <w:sz w:val="20"/>
          <w:bdr w:val="single" w:sz="8" w:space="1" w:color="000000"/>
        </w:rPr>
        <w:t xml:space="preserve">PROSPECTUS SUPPLEMENT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You should read this prospectus supplement and the accompanying prospectus carefully, especially the risks of investing in our common stock discussed under “Risk Factors” beginning on page S-7 of this prospectus supplement and in Part I, Item 1A “Risk Factors” of our most recent Annual Report on Form 10-K and the subsequent Quarterly Reports on Form 10-Q we filed, which are incorporated by reference in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committed to bringing transformative bifunctional therapies to patients with solid tumors. We have built a platform designed to facilitate the development of bifunctional therapies that precisely target the tumor and deliver a tumor-modulating payload to the tumor site. This dual-targeting approach both enhances drug exposure within the tumor microenvironment (“TME”) and limits systemic toxicity. This approach was deployed in the development of our lead program ficerafusp alfa, formerly BCA101, a bifunctional epidermal growth factor receptor- (“EGFR”) directed monoclonal antibody bound to a human transforming growth factor beta (“TGF-ß”) ligand trap.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that the bifunctional design of ficerafusp alfa can potentially improve upon the therapeutic profile of existing immunotherapies and targeted therapies by addressing resistance mechanisms and limiting off-target toxicity, therefore, enhancing the treatment effect and tolerability for targeted patient populations with cancer.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By combining these two clinically validated targets, ficerafusp alfa has the potential to exert potent anti-tumor activity by simultaneously blocking both cancer cell-intrinsic EGFR survival and proliferation, as well as the immunosuppressive TGF-ß signaling within the TME. Ficerafusp alfa directs the TGF-ß inhibitor into the immediate TME through the binding of EGFR on tumor cells, which we believe will lead to deep and durable responses and an increase in overall survival (“OS”) while reducing the adverse effects typically associated with systemic TGF-ß inhibition.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ficerafusp alfa has the potential to provide meaningful clinical benefit in solid tumors where there is a strong biologic rationale for the dual inhibition of both EGFR and TGF-ß, such as head and neck cancers, colorectal cancer and other squamous cell carcinomas which typically overexpress EGFR and TGF-ß pathways. We are focusing our efforts and resources on the continued development of ficerafusp alfa in those tumor types for which there is strong biologic rationale and remaining unmet need for enhanced tumor penetration.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u w:val="single"/>
          <w:bdr w:val="single" w:sz="8" w:space="1" w:color="000000"/>
        </w:rPr>
        <w:t xml:space="preserve">Ficerafusp alfa </w:t>
      </w:r>
      <w:r>
        <w:rPr>
          <w:rFonts w:ascii="Times New Roman" w:hAnsi="Times New Roman"/>
          <w:sz w:val="20"/>
          <w:bdr w:val="single" w:sz="8" w:space="1" w:color="000000"/>
        </w:rPr>
        <w:t xml:space="preserve">is currently being studied in: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Head and neck squamous cell carcinoma (HNSCC):</w:t>
            </w:r>
            <w:r>
              <w:rPr>
                <w:rFonts w:ascii="Times New Roman" w:hAnsi="Times New Roman"/>
                <w:sz w:val="20"/>
              </w:rPr>
              <w:t xml:space="preserve"> Our global, double-blind, Phase 2/3 FORTIFI-HN01 pivotal study evaluating 1500mg dosed once weekly (“QW”), of ficerafusp alfa in combination with pembrolizumab in first-line (“1L”), recurrent/metastatic (“R/M”), human papillomavirus infection (“HPV”), -negative HNSCC is ongoing. We expect to be substantially enrolled by the end of 2026 to enable an interim analysis in mid-2027. We believe the study is sufficiently powered to support an accelerated approval on the basis of overall response rate (“ORR”), six-month durability, and qualitative OS.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Metastatic colorectal cancer (mCRC): </w:t>
            </w:r>
            <w:r>
              <w:rPr>
                <w:rFonts w:ascii="Times New Roman" w:hAnsi="Times New Roman"/>
                <w:sz w:val="20"/>
              </w:rPr>
              <w:t xml:space="preserve">Through our ongoing, open-label Phase 1/1b expansion cohorts, we are investigating early signal-seeking in other solid tumors where there is strong biologic and mechanistic rationale to believe that ficerafusp alfa may improve clinical outcomes. We are currently enrolling an expansion cohort evaluating 1500mg QW of ficerafusp alfa, both as monotherapy and in combination with pembrolizumab, in late-line (“3L+”), microsatellite stable (“MSS”), RAS wild type (“RASwt”), mCRC and expect to present preliminary safety and efficacy data in the second half of 2026.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goal is to build a fully integrated, commercial-stage biopharmaceutical company that develops important therapies for people living with cancer, starting with ficerafusp alfa. Our future success depends upon many factors, including our ability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the section entitled “Risk Factors” beginning on page S-7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 February 19, 2026, we presented preliminary safety and efficacy data from an exploratory Phase 1b expansion cohort evaluating 2000mg of ficerafusp alfa every other week (“Q2W”) in combination with pembrolizumab in 1L HPV-negative R/M HNSCC.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Phase 1b expansion cohort data show that 2000mg Q2W ficerafusp alfa in combination with pembrolizumab was generally well-tolerated, with a safety profile consistent with the known safety profile of ficerafusp alfa plus pembrolizumab in R/M HNSCC. 2000mg Q2W of ficerafusp alfa demonstrated a 48% confirmed ORR, with 26% of patients achieving a complete response and 77% of responders demonstrating deep responses of at least 80% tumor shrinkage. Preliminary efficacy data demonstrated enhanced durability and additional outcomes data continue to mature.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Updated biomarker results demonstrated that 2000mg Q2W maintains TGF-ß inhibition and immune activation while delivering deep responses, consistent with the differentiated clinical profile established by 1500mg QW of ficerafusp alfa. The growing body of pharmacokinetic, translational and clinical data and exposure-response modeling supports development of a less frequent dose regimen that optimizes efficacy, safety and convenience without compromising the depth nor durability of response that are characteristic of ficerafusp alfa’s differentiated clinical profile.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plan to develop ficerafusp alfa with a loading and every-three-week maintenance schedule and aim to achieve regulatory alignment to enable data generation by potential U.S. approval.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Preliminary Financial Updates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of December 31, 2025, we had approximately $414.8 million of cash, cash equivalents and investments. These amounts have not been audited or reviewed by our independent registered public accounting firm. Our actual cash, cash equivalents and investments as of December 31, 2025 may differ from these amounts after we complete our comprehensive accounting procedures for the year ended December 31, 2025. Our financial statements for the year ended December 31, 2025 will not be available until after this offering is completed, and consequently will not be available to you prior to investing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December 12, 2018 under the name “Bicara Therapeutics Inc.” Our principal executive office is located at 116 Huntington Avenue, Suite 703, Boston, MA 02116, and our telephone number is 617-468-4219. We have one subsidiary, Bicara Securities Corporation, formed in October 2023 under the laws of the Commonwealth of Massachusetts. Our website address is </w:t>
      </w:r>
      <w:r>
        <w:rPr>
          <w:rFonts w:ascii="Times New Roman" w:hAnsi="Times New Roman"/>
          <w:i/>
          <w:sz w:val="20"/>
          <w:bdr w:val="single" w:sz="8" w:space="1" w:color="000000"/>
        </w:rPr>
        <w:t>www.bicara.com.</w:t>
      </w:r>
      <w:r>
        <w:rPr>
          <w:rFonts w:ascii="Times New Roman" w:hAnsi="Times New Roman"/>
          <w:sz w:val="20"/>
          <w:bdr w:val="single" w:sz="8" w:space="1" w:color="000000"/>
        </w:rPr>
        <w:t xml:space="preserve"> The information contained in, or that can be accessed through, our website, does not constitute a part of this prospectus supplement, and is not incorporated by reference in this prospectus supplement or in any other filings we make with the SEC. We have included our website address in this prospectus supplement solely as an inactive textual reference. Our common stock trades on the Nasdaq Global Market under the symbol “BCAX.”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pursuant to the Sarbanes-Oxley Act of 2002;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after this offering if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is less than $700 million as of the last business day of the most recently completed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Offered by Us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both"/>
              <w:rPr>
                <w:rFonts w:ascii="Times New Roman" w:hAnsi="Times New Roman"/>
                <w:sz w:val="20"/>
              </w:rPr>
            </w:pPr>
            <w:r>
              <w:rPr>
                <w:rFonts w:ascii="Times New Roman" w:hAnsi="Times New Roman"/>
                <w:sz w:val="20"/>
              </w:rPr>
              <w:t>$150,000,000 of shares of our common stock</w:t>
            </w:r>
          </w:p>
        </w:tc>
      </w:tr>
      <w:tr>
        <w:trPr>
          <w:trHeight w:val="7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Option to Purchase Additional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both"/>
              <w:rPr>
                <w:rFonts w:ascii="Times New Roman" w:hAnsi="Times New Roman"/>
                <w:sz w:val="20"/>
              </w:rPr>
            </w:pPr>
            <w:r>
              <w:rPr>
                <w:rFonts w:ascii="Times New Roman" w:hAnsi="Times New Roman"/>
                <w:sz w:val="20"/>
              </w:rPr>
              <w:t>We have granted the underwriters an option, exercisable for 30 days from the date of the prospectus supplement, to purchase up to an additional $22,500,000 of shares of our common stock from us at the public offering price, less underwriting discounts and commissions.</w:t>
            </w:r>
          </w:p>
        </w:tc>
      </w:tr>
      <w:tr>
        <w:trPr>
          <w:trHeight w:val="7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to be Outstanding After This Offering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r>
          </w:p>
          <w:p>
            <w:pPr>
              <w:pStyle w:val="TableContents"/>
              <w:bidi w:val="0"/>
              <w:spacing w:before="0" w:after="0"/>
              <w:jc w:val="both"/>
              <w:rPr/>
            </w:pPr>
            <w:r>
              <w:rPr/>
              <w:t xml:space="preserve">     </w:t>
            </w:r>
            <w:r>
              <w:rPr>
                <w:rFonts w:ascii="Times New Roman" w:hAnsi="Times New Roman"/>
                <w:sz w:val="20"/>
              </w:rPr>
              <w:t>shares (or      shares if the underwriters exercise their option to purchase additional shares of our common stock in full).</w:t>
            </w:r>
          </w:p>
        </w:tc>
      </w:tr>
      <w:tr>
        <w:trPr>
          <w:trHeight w:val="7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from the sale of the common stock in this offering will be approximately $     million (or approximately $     million if the underwriters exercise their option to purchase additional shares of our common stock in full), based on the public offering price of $    per share of common stock, after deducting underwriting discounts and commissions and estimated offering expenses payable by us. We currently intend to use the net proceeds of this offering, together with our existing cash, cash equivalents and investments, to further invest in and build our medical and commercial infrastructure to support a planned regulatory filing and commercial launch for ficerafusp alfa, if approved, in the U.S.; to further accelerate the development of ficerafusp alfa in 1L R/M HPV-negative HNSCC, including a less frequent dosing schedule; to fund manufacturing costs for ficerafusp alfa for ongoing and anticipated drug development efforts; to fund early signal-finding to support future indication expansion for ficerafusp alfa; and for other general corporate purposes. See the section of this prospectus supplement entitled “</w:t>
            </w:r>
            <w:r>
              <w:rPr>
                <w:rFonts w:ascii="Times New Roman" w:hAnsi="Times New Roman"/>
                <w:i/>
                <w:sz w:val="20"/>
              </w:rPr>
              <w:t>Use of Proceeds</w:t>
            </w:r>
            <w:r>
              <w:rPr>
                <w:rFonts w:ascii="Times New Roman" w:hAnsi="Times New Roman"/>
                <w:sz w:val="20"/>
              </w:rPr>
              <w:t>” beginning on page S-9 for additional details.</w:t>
            </w:r>
          </w:p>
        </w:tc>
      </w:tr>
      <w:tr>
        <w:trPr>
          <w:trHeight w:val="7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Risk Factors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both"/>
              <w:rPr>
                <w:rFonts w:ascii="Times New Roman" w:hAnsi="Times New Roman"/>
                <w:sz w:val="20"/>
              </w:rPr>
            </w:pPr>
            <w:r>
              <w:rPr>
                <w:rFonts w:ascii="Times New Roman" w:hAnsi="Times New Roman"/>
                <w:sz w:val="20"/>
              </w:rPr>
              <w:t>Investing in our common stock involves significant risks. You should read the “</w:t>
            </w:r>
            <w:r>
              <w:rPr>
                <w:rFonts w:ascii="Times New Roman" w:hAnsi="Times New Roman"/>
                <w:i/>
                <w:sz w:val="20"/>
              </w:rPr>
              <w:t>Risk Factors</w:t>
            </w:r>
            <w:r>
              <w:rPr>
                <w:rFonts w:ascii="Times New Roman" w:hAnsi="Times New Roman"/>
                <w:sz w:val="20"/>
              </w:rPr>
              <w:t>” section of this prospectus supplement beginning on page S-7 and other information included in, or incorporated by reference into, this prospectus supplement and the accompanying prospectus for a discussion of factors to consider before deciding to purchase shares of our common stock.</w:t>
            </w:r>
          </w:p>
        </w:tc>
      </w:tr>
      <w:tr>
        <w:trPr>
          <w:trHeight w:val="7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Nasdaq Global Market Symbol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both"/>
              <w:rPr/>
            </w:pPr>
            <w:r>
              <w:rPr/>
              <w:t>“</w:t>
            </w:r>
            <w:r>
              <w:rPr>
                <w:rFonts w:ascii="Times New Roman" w:hAnsi="Times New Roman"/>
                <w:sz w:val="20"/>
              </w:rPr>
              <w:t>BCAX”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supplement related to the number of shares of our common stock to be outstanding immediately after this offering is based on 54,612,477 shares of our common stock outstanding as of September 30, 2025. The number of shares outstanding as of September 30, 2025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9,157,290 shares of common stock issuable upon the exercise of stock options outstanding as of September 30, 2025, at a weighted average exercise price of $7.69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3,640,569 shares of common stock available for future issuance under our 2024 Stock Option and Incentive Plan as of September 30, 2025, as well as any increases in the number of shares of common stock reserved for issuance thereunder;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507,383 shares of common stock available for future issuance under our 2024 Employee Stock Purchase Plan as of September 30, 2025, as well as any increases in the number of shares of common stock reserved for issuance thereunder;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1,604,000 shares of common stock sold pursuant to our “at-the-market” program in accordance with our Sales Agreement with TD Securities (USA) LLC (“Sales Agreement”) since September 30, 2025 for aggregate net proceeds of approximately $29.6 million.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this prospectus supplement assumes no exercise or forfeiture of the outstanding options described above and no exercise by the underwriters of their option to purchase additional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06443_4"/>
      <w:bookmarkEnd w:id="6"/>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and in Part I, Item 1A “Risk Factors” of our most recent Annual Report on Form 10-K and the subsequent Quarterly Reports on Form 10-Q we have filed with the SEC and are incorporated herein by reference, together with all other information contained in this prospectus supplement, the accompanying prospectus and in our filings with the SEC that we have incorporated by reference in this prospectus supplement and the accompanying prospectus.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The risks discussed below also include forward-looking statements and our actual results may differ substantially from those discussed in these forward-looking statements.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Our Common Stock and This Offering </w:t>
      </w:r>
    </w:p>
    <w:p>
      <w:pPr>
        <w:pStyle w:val="TextBody"/>
        <w:bidi w:val="0"/>
        <w:spacing w:before="240" w:after="0"/>
        <w:jc w:val="both"/>
        <w:rPr>
          <w:rFonts w:ascii="Times New Roman" w:hAnsi="Times New Roman"/>
          <w:b/>
          <w:i/>
          <w:sz w:val="20"/>
        </w:rPr>
      </w:pPr>
      <w:r>
        <w:rPr>
          <w:rFonts w:ascii="Times New Roman" w:hAnsi="Times New Roman"/>
          <w:b/>
          <w:i/>
          <w:sz w:val="20"/>
        </w:rPr>
        <w:t xml:space="preserve">Purchasers of securities in this offering will experience immediate and substantial dilution in the book value of their investment. </w:t>
      </w:r>
    </w:p>
    <w:p>
      <w:pPr>
        <w:pStyle w:val="TextBody"/>
        <w:bidi w:val="0"/>
        <w:spacing w:before="120" w:after="0"/>
        <w:jc w:val="both"/>
        <w:rPr>
          <w:rFonts w:ascii="Times New Roman" w:hAnsi="Times New Roman"/>
          <w:sz w:val="20"/>
        </w:rPr>
      </w:pPr>
      <w:r>
        <w:rPr>
          <w:rFonts w:ascii="Times New Roman" w:hAnsi="Times New Roman"/>
          <w:sz w:val="20"/>
        </w:rPr>
        <w:t>If you purchase shares of our common stock in this offering, you will experience immediate and substantial dilution, as the public offering price of our common stock will be substantially greater than the net tangible book value per share of our common stock before giving effect to this offering. Accordingly, if you purchase our common stock in this offering, you will incur immediate substantial dilution of approximately $     per share, representing the difference between the public offering price per share of common stock and our as adjusted net tangible book value as of September 30, 2025. For a further description of the dilution that you will experience immediately after this offering, see the section of this prospectus supplement entitled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both"/>
        <w:rPr>
          <w:rFonts w:ascii="Times New Roman" w:hAnsi="Times New Roman"/>
          <w:sz w:val="20"/>
        </w:rPr>
      </w:pPr>
      <w:r>
        <w:rPr>
          <w:rFonts w:ascii="Times New Roman" w:hAnsi="Times New Roman"/>
          <w:sz w:val="20"/>
        </w:rPr>
        <w:t>We currently intend to use the net proceeds of this offering, together with our existing cash, cash equivalents and investments, to further invest in and build our medical and commercial infrastructure to support a planned regulatory filing and commercial launch for ficerafusp alfa, if approved, in the U.S.; to further accelerate the development of ficerafusp alfa in 1L R/M HPV-negative HNSCC, including a less frequent dosing schedule; to fund manufacturing costs for ficerafusp alfa for ongoing and anticipated drug development efforts; to fund early signal-finding to support future indication expansion for ficerafusp alfa; and for other general corporate purposes. Pending the use of net proceeds, we may invest the net proceeds in short-term, investment-grade, interest bearing obligations, certificates of deposit or direct or guaranteed obligations of the United States government. Because of the number and variability of factors that will determine our use of any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the section entitled “</w:t>
      </w:r>
      <w:r>
        <w:rPr>
          <w:rFonts w:ascii="Times New Roman" w:hAnsi="Times New Roman"/>
          <w:i/>
          <w:sz w:val="20"/>
        </w:rPr>
        <w:t>Use of Proceeds</w:t>
      </w:r>
      <w:r>
        <w:rPr>
          <w:rFonts w:ascii="Times New Roman" w:hAnsi="Times New Roman"/>
          <w:sz w:val="20"/>
        </w:rPr>
        <w:t xml:space="preserve">”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both"/>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both"/>
        <w:rPr>
          <w:rFonts w:ascii="Times New Roman" w:hAnsi="Times New Roman"/>
          <w:b/>
          <w:i/>
          <w:sz w:val="20"/>
        </w:rPr>
      </w:pPr>
      <w:r>
        <w:rPr>
          <w:rFonts w:ascii="Times New Roman" w:hAnsi="Times New Roman"/>
          <w:b/>
          <w:i/>
          <w:sz w:val="20"/>
        </w:rPr>
        <w:t xml:space="preserve">Future sales or issuances of our common stock in the public market, or the perception of such sales, could depress the trading price of our common stock. </w:t>
      </w:r>
    </w:p>
    <w:p>
      <w:pPr>
        <w:pStyle w:val="TextBody"/>
        <w:bidi w:val="0"/>
        <w:spacing w:before="120" w:after="0"/>
        <w:jc w:val="both"/>
        <w:rPr>
          <w:rFonts w:ascii="Times New Roman" w:hAnsi="Times New Roman"/>
          <w:sz w:val="20"/>
        </w:rPr>
      </w:pPr>
      <w:r>
        <w:rPr>
          <w:rFonts w:ascii="Times New Roman" w:hAnsi="Times New Roman"/>
          <w:sz w:val="20"/>
        </w:rPr>
        <w:t>The sale of a substantial number of shares of our common stock or other securities convertible into or exchangeable for our common stock in the public market, or the perception that such sales could occur, could depress the market price of our common stock and impair our ability to raise capital through the sale of additional equity securities. In connection with this offering and subject to certain exceptions, we and our directors and executive officers have entered into lock-up agreements for a period of 60 days following this offering. We and our directors and executive officers may be released from such lock-up agreements prior to the expiration of the lock-up period at the sole discretion of Morgan Stanley &amp; Co. LLC, TD Securities (USA) LLC and BofA Securities, Inc. (See “</w:t>
      </w:r>
      <w:r>
        <w:rPr>
          <w:rFonts w:ascii="Times New Roman" w:hAnsi="Times New Roman"/>
          <w:i/>
          <w:sz w:val="20"/>
        </w:rPr>
        <w:t>Underwriting</w:t>
      </w:r>
      <w:r>
        <w:rPr>
          <w:rFonts w:ascii="Times New Roman" w:hAnsi="Times New Roman"/>
          <w:sz w:val="20"/>
        </w:rPr>
        <w:t xml:space="preserve">” beginning on page S-12 of this prospectus supplement). Upon expiration or earlier release of the lock-up, we and our directors and executive officers and our affiliate stockholders may sell shares into the market. We cannot predict the effect that future sales of common stock or other equity-related securities would have on the market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do not anticipate paying any cash dividends on our capital stock in the foreseeable future. Accordingly, investors in this offering may never obtain a return on their investment. </w:t>
      </w:r>
    </w:p>
    <w:p>
      <w:pPr>
        <w:pStyle w:val="TextBody"/>
        <w:bidi w:val="0"/>
        <w:spacing w:before="120" w:after="0"/>
        <w:jc w:val="both"/>
        <w:rPr>
          <w:rFonts w:ascii="Times New Roman" w:hAnsi="Times New Roman"/>
          <w:sz w:val="20"/>
        </w:rPr>
      </w:pPr>
      <w:r>
        <w:rPr>
          <w:rFonts w:ascii="Times New Roman" w:hAnsi="Times New Roman"/>
          <w:sz w:val="20"/>
        </w:rPr>
        <w:t xml:space="preserve">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06443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the sale of the common stock in this offering will be approximately $    million (or approximately $    million if the underwriters exercise their option to purchase additional shares of our common stock in full), based on the public offering price of $    per share of common stock, after deducting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we had cash, cash equivalents and investments of $414.8 million. These amounts have not been audited or reviewed by our independent registered public accounting firm. Our actual cash, cash equivalents and investments as of December 31, 2025 may differ from these amounts after we complete our comprehensive accounting procedures for the year ended December 31, 2025. We currently intend to use the net proceeds of this offering, together with our existing cash, cash equivalents and investments, to further invest in and build our medical and commercial infrastructure to support a planned regulatory filing and commercial launch for ficerafusp alfa, if approved, in the U.S.; to further accelerate the development of ficerafusp alfa in 1L R/M HPV-negative HNSCC, including a less frequent dosing schedule; to fund manufacturing costs for ficerafusp alfa for ongoing and anticipated drug development efforts; to fund early signal-finding to support future indication expansion for ficerafusp alfa; and for other general corporate purposes. </w:t>
      </w:r>
    </w:p>
    <w:p>
      <w:pPr>
        <w:pStyle w:val="TextBody"/>
        <w:bidi w:val="0"/>
        <w:spacing w:before="240" w:after="0"/>
        <w:jc w:val="both"/>
        <w:rPr>
          <w:rFonts w:ascii="Times New Roman" w:hAnsi="Times New Roman"/>
          <w:sz w:val="20"/>
        </w:rPr>
      </w:pPr>
      <w:r>
        <w:rPr>
          <w:rFonts w:ascii="Times New Roman" w:hAnsi="Times New Roman"/>
          <w:sz w:val="20"/>
        </w:rPr>
        <w:t xml:space="preserve">Pending these uses, we may temporarily invest the net proceeds from this offering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240" w:after="0"/>
        <w:jc w:val="both"/>
        <w:rPr>
          <w:rFonts w:ascii="Times New Roman" w:hAnsi="Times New Roman"/>
          <w:sz w:val="20"/>
        </w:rPr>
      </w:pPr>
      <w:r>
        <w:rPr>
          <w:rFonts w:ascii="Times New Roman" w:hAnsi="Times New Roman"/>
          <w:sz w:val="20"/>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progress of our development, the status of and results from clinical trials and collaborations that we may enter into with third parties for our product candidates and any unforeseen cash needs, including the factors described under “</w:t>
      </w:r>
      <w:r>
        <w:rPr>
          <w:rFonts w:ascii="Times New Roman" w:hAnsi="Times New Roman"/>
          <w:i/>
          <w:sz w:val="20"/>
        </w:rPr>
        <w:t>Risk Factors</w:t>
      </w:r>
      <w:r>
        <w:rPr>
          <w:rFonts w:ascii="Times New Roman" w:hAnsi="Times New Roman"/>
          <w:sz w:val="20"/>
        </w:rPr>
        <w:t xml:space="preserve">” in this prospectus supplement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06443_6"/>
      <w:bookmarkEnd w:id="8"/>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purchase our common stock in this offering, your interest will be diluted to the extent of the difference between the public offering price per share of common stock and the as-adjusted net tangible book value per share of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As of September 30, 2025, we had net tangible book value of approximately $402.8 million, or $7.38 per share of our common stock, based upon 54,612,477 shares of our common stock outstanding as of that date. Our historical net tangible book value (deficit) is the amount of our total tangible assets (total assets excluding goodwill and intangible assets) less total liabilities. Dilution in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(i) 1,604,000 shares of common stock sold pursuant to our “at-the-market” program in accordance with the Sales Agreement since September 30, 2025 for aggregate net proceeds of approximately $29.6 million and (ii) the sale by us of shares of common stock at the public offering price of $    per share of common stock, and after deducting underwriting discounts and commissions and estimated offering expenses, our as-adjusted net tangible book value as of September 30, 2025 would have been approximately $    million, or $    per share of common stock. This represents an immediate increase in the as-adjusted net tangible book value of $    per share of common stock to our existing stockholders and an immediate dilution of $    per share of common stock issued to the investors participating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illustrates this per share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5"/>
        <w:gridCol w:w="243"/>
        <w:gridCol w:w="140"/>
        <w:gridCol w:w="444"/>
        <w:gridCol w:w="60"/>
        <w:gridCol w:w="243"/>
        <w:gridCol w:w="140"/>
        <w:gridCol w:w="838"/>
        <w:gridCol w:w="62"/>
      </w:tblGrid>
      <w:tr>
        <w:trPr/>
        <w:tc>
          <w:tcPr>
            <w:tcW w:w="803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03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September 30, 2025</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7.38</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sale of 1,604,000 shares of common stock sold pursuant to the “at-the-market” program in accordance with the Sales Agreement since September 30, 2025</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03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3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September 30, 2025</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sale of shares of common stock in this offering</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03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3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3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0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new investors purchasing shares in this offering</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03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of our common stock in full at the public offering price of $     per share, the as adjusted net tangible book value after this offering would be $     per share, representing an increase in net tangible book value of $     per share to existing stockholders and dilution of $     per share to investors purchasing shares of common stock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above discussion and table are based on 54,612,477 shares of our common stock outstanding as of September 30, 2025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9,157,290 shares of common stock issuable upon the exercise of stock options outstanding as of September 30, 2025, at a weighted average exercise price of $7.69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3,640,569 shares of common stock available for future issuance under our 2024 Stock Option and Incentive Plan as of September 30, 2025, as well as any increases in the number of shares of common stock reserved for issuance thereunder;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507,383 shares of common stock available for future issuance under our 2024 Employee Stock Purchase Plan as of September 30, 2025, as well as any increases in the number of shares of common stock reserved for issuance thereunder.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this prospectus supplement assumes no exercise or forfeiture of the outstanding options described above and no exercise by the underwriters of their option to purchase additional shares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To the extent that options outstanding as of September 30, 2025 have been or may be exercised or settle, as applicable, new options or other equity awards are issued under our equity incentive plans,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06443_7"/>
      <w:bookmarkEnd w:id="9"/>
      <w:r>
        <w:rPr>
          <w:rFonts w:ascii="Times New Roman" w:hAnsi="Times New Roman"/>
          <w:b/>
          <w:sz w:val="20"/>
        </w:rPr>
        <w:t xml:space="preserve">UNDERWRITING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TD Securities (USA) LLC and BofA Securities, Inc. are acting as representatives, have severally agreed to purchase, and we have agreed to sell to them, severally, the number of shares of common stock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350"/>
        <w:gridCol w:w="182"/>
        <w:gridCol w:w="60"/>
        <w:gridCol w:w="999"/>
        <w:gridCol w:w="62"/>
      </w:tblGrid>
      <w:tr>
        <w:trPr/>
        <w:tc>
          <w:tcPr>
            <w:tcW w:w="635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w:t>
            </w:r>
          </w:p>
        </w:tc>
        <w:tc>
          <w:tcPr>
            <w:tcW w:w="182"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Shares</w:t>
            </w:r>
          </w:p>
        </w:tc>
        <w:tc>
          <w:tcPr>
            <w:tcW w:w="62" w:type="dxa"/>
            <w:tcBorders/>
            <w:vAlign w:val="bottom"/>
          </w:tcPr>
          <w:p>
            <w:pPr>
              <w:pStyle w:val="TableContents"/>
              <w:bidi w:val="0"/>
              <w:spacing w:before="0" w:after="283"/>
              <w:jc w:val="left"/>
              <w:rPr/>
            </w:pPr>
            <w:r>
              <w:rPr/>
              <w:t> </w:t>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5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3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5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9"/>
        <w:gridCol w:w="304"/>
        <w:gridCol w:w="140"/>
        <w:gridCol w:w="803"/>
        <w:gridCol w:w="60"/>
        <w:gridCol w:w="304"/>
        <w:gridCol w:w="140"/>
        <w:gridCol w:w="803"/>
        <w:gridCol w:w="60"/>
        <w:gridCol w:w="304"/>
        <w:gridCol w:w="140"/>
        <w:gridCol w:w="803"/>
        <w:gridCol w:w="65"/>
      </w:tblGrid>
      <w:tr>
        <w:trPr/>
        <w:tc>
          <w:tcPr>
            <w:tcW w:w="6279"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27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5"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expenses relating to clearance of this offering with the Financial Industry Regulatory Authority up to $15,000.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common stock is listed on The Nasdaq Global Market under the symbol “BCAX.” </w:t>
      </w:r>
    </w:p>
    <w:p>
      <w:pPr>
        <w:pStyle w:val="TextBody"/>
        <w:bidi w:val="0"/>
        <w:spacing w:before="240" w:after="0"/>
        <w:jc w:val="both"/>
        <w:rPr>
          <w:rFonts w:ascii="Times New Roman" w:hAnsi="Times New Roman"/>
          <w:sz w:val="20"/>
        </w:rPr>
      </w:pPr>
      <w:r>
        <w:rPr>
          <w:rFonts w:ascii="Times New Roman" w:hAnsi="Times New Roman"/>
          <w:sz w:val="20"/>
        </w:rPr>
        <w:t xml:space="preserve">We and all our directors and officers have agreed that, without the prior written consent of each of Morgan Stanley &amp; Co. LLC, TD Securities (USA) LLC and BofA Securities, Inc. on behalf of the underwriters, we and they will not, and will not publicly disclose an intention to, during the period ending 60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have agreed that, without the prior written consent of each of Morgan Stanley &amp; Co. LLC, TD Securities (USA) LLC and BofA Securities, Inc. on behalf of the underwriters, we will not, during the restricted period, file any registration statement with the Securities and Exchange Commission relating to the offering of any shares of common stock or any securities convertible into or exercisable or exchangeable for common stock. Our directors and officers also have agreed that, without the prior written consent of each of Morgan Stanley &amp; Co. LLC, TD Securities (USA)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above do not apply to us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sale of shares to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by the Company of shares of common stock upon the exercise of an option or a warrant or the conversion of a security outstanding on the date of this prospectus supplement as described in this prospectus supplement and the registration statement of which this prospectus supplement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grants of options, restricted stock or other equity awards and the issuance of common stock or securities convertible into or exercisable for common stock (whether upon the exercise of stock options or otherwise) to employees, officers, directors, advisors, or consultants pursuant to the terms of an employee benefit plan in effect on the date of this prospectus supplement and as described in the registration statement and this prospectus supplement, provided that we cause each recipient of such grant to execute and deliver a lock-up agreement for the remainder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of a registration statement on Form S-8 to register common stock issuable pursuant to any employee benefit plans, qualified stock option plans or other employee compensation plans, described in this prospectus supplement and the registration statement of which this prospectus supplement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 commercial or other collaborative transaction or the acquisition or license of the business, property, technology or other assets of another individual or entity or the assumption of an employee benefit plan in connection with a merger or acquisition, other than for capital raising purposes; provided that the aggregate number of common stock or any securities convertible into, or exercisable or exchangeable for, common stock that we may issue or agree to issue pursuant to this clause (e) shall not exceed 3% of the total outstanding share capital of the Company immediately following such issuance; and provided further, that the recipients of any such shares of common stock and securities issued pursuant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this clause (e) during the restricted period described above shall enter into a lock-up agreement for the remainder of such restricted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or modification of a trading plan on behalf of any of our securityholders, officers or directors pursuant to Rule 10b5-1 under the Exchange Act for the transfer of shares of our common stock, provided that (a) such plan does not provide for the transfer of common stock during the restricted period and (b) to the extent a public announcement or filing under the Exchange Act, if any, is required of or voluntarily made by us regarding the establishment or modification of such plan, such announcement or filing shall include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above do not apply to our directors or officers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relating to shares of common stock or other securities acquired (i) from the underwriters in this offering or (ii) in open market transactions after the completion of this offering, provided that no filing under Section 16(a) of the Exchange Act is required or voluntarily made during the restricted period in connection with subsequent sales of common stock or other securities acquired in this offering or such open market or other transactions (other than (1) Schedule 13 filings filed with the SEC and (2) any Form 4 or Form 5 required to be filed under the Exchange Act if the undersigned is subject to Section 16 reporting under the Exchange Act and indicating by footnote disclosure or otherwise the nature of the transaction and that such securities were acquired from the underwriters in this offering or in open market transactions after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(i) as a bona fide gift or to a charitable organization or educational institution, (ii) to any immediate family member or any trust for the direct or indirect benefit of the party subject to the lock-up agreement or an immediate family member of such party, or if such party is a trust, to a grantor, trustee or beneficiary of the trust (including such beneficiary’s estate) or (iii) by will, other testamentary document or intestate succession to the legal representative, heir, beneficiary or a member of the immediate family of the party subject to the lock-up agreement upon death; provided that, (i) such transfer does not involve a disposition for value, (ii) each donee or transferee signs and delivers a lock-up agreement substantially in the form described in this prospectus supplement and (iii) no filing under Section 16(a) of the Exchange Act reporting a reduction in beneficial ownership of shares of common stock is required or voluntarily made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party subject to the lock-up agreement is an entity, transfers, dispositions or distributions of shares of common stock or any security convertible into or exercisable or exchangeable for common stock (i) to another corporation, partnership, limited liability company, investment fund trust or other business entity that is a subsidiary or an affiliate (within the meaning set forth in Rule 405 under the Securities Act of 1933, as amended, and including the subsidiaries of the party subject to the lock-up agreement) of such party, (ii) to any investment fund or other entity controlling, controlled by, managing or managed by or under common control or management with such party (including, for the avoidance of doubt, where such party is a partnership, to its general partner or a successor partnership or fund, or any other funds managed by such partnership) or (iii) to its stockholders, limited partners, general partners, members, beneficiaries or other equityholders or to the estate of any such stockholders, limited partners, general partners, members, beneficiaries or equityholders, provided that, (A) each transferee or distributee signs and delivers a lock-up agreement substantially in the form described in this prospectus supplement, (B) no filing under the Exchange Act reporting a reduction in beneficial ownership of shares of common stock is required or voluntarily made during the restricted period and (C) such transfer does not involve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or dispositions of common stock or any security convertible into or exercisable or exchangeable for common stock to us (i) pursuant to any contractual arrangement in effect on the date of the lock-up agreement and described in this prospectus supplement and the registration statement of which this prospectus supplement forms a part or (ii) in connection with the termination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employment with or service to the Company, provided that no public disclosure or filing under Section 16(a) of the Exchange Act is required or voluntarily made during the restricted period in connection with any such transfers or dispositions (other than (1) Schedule 13 filings filed with the SEC, and (2) any Form 4 or Form 5 required to be filed under the Exchange Act if the party is subject to Section 16 reporting under the Exchange Act and indicating by footnote disclosure or otherwise the nature of the transfer or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or dispositions of common stock or any security convertible into or exercisable or exchangeable for common stock in connection with the conversion of any convertible security into, or the exercise of any option or warrant for, common stock (including by way of “net” or “cashless” exercise solely to cover withholding tax obligations in connection with such exercise and any transfer to us for the payment of taxes as a result of such exercise) in each case pursuant to any equity incentive plan described in this prospectus supplement and to the extent permitted by the instruments representing such options outstanding as of the date of this prospectus supplement, provided that any remaining shares of common stock or other securities received upon such vesting, settlement or exercise remain subject to the lock-up restrictions described in this prospectus supplement; and provided further that no public disclosure or filing is made voluntarily during the restricted period and to the extent a filing under Section 16(a) of the Exchange Act is required during the restricted period it clearly indicates that (i) the filing relates to the circumstances described in this clause (e) and (ii) no securities were sold by the party subject to the lock-up;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transfers of common stock or any security convertible into or exercisable or exchangeable for common stock pursuant to a bona fide third-party tender offer for shares of our capital stock made to all holders of our securities, merger, consolidation or other similar transaction approved by our board of directors the result of which is that any person (as defined in Section 13(d)(3) of the Exchange Act), or group of persons, other than the Company, becomes the beneficial owner (as defined in Rules 13d-3 and 13d-5 of the Exchange Act) of more than 50% of the total voting power of our voting stock and (ii) entry into any lock-up, voting or similar agreement pursuant to which the party subject to the lock-up may agree to transfer, sell, tender or otherwise dispose of common stock or such other securities in connection with a transaction described in (i) above; provided that in the event that such change of control transaction is not completed, the common stock (or any security convertible into or exercisable or exchangeable for common stock) owned by the party subject to the lock-up agreement remains subject to the restrictions contained in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or transfers of shares of common stock pursuant to a trading plan adopted prior to the date hereof pursuant to Rule 10b5-1 under the Exchange Act, and disclosed to the representatives prior to the date of this prospectus supplement;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or modification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party subject to the lock-up agreement or the Company regarding the establishment of such plan, such announcement or filing includes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TD Securities (USA) LLC and BofA Securities, Inc.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 TD Securities (USA) LLC is the sales agent for our at-the-market offering program pursuant to a Sales Agreement, dated October 3, 2025 between us and TD Securities (USA) LLC.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of National Instrument 33-105 Underwriting Conflicts, or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shares shall require us or any representative to publish a prospectus pursuant to Article 3 of the Prospectus Regulation or supplement a prospectus pursuant to Article 23 of the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No registration pursuant to Article 4, paragraph 1 of the Financial Instruments and Exchange Law of Japan (Law No. 25 of 1948, as amended) (the “FIEL”) has been made or will be made with respect to the solicitation of the application for the acquisition of the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For Qualified Institutional Investors (“QII”)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For Non-QII Investors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both"/>
        <w:rPr>
          <w:rFonts w:ascii="Times New Roman" w:hAnsi="Times New Roman"/>
          <w:sz w:val="20"/>
        </w:rPr>
      </w:pPr>
      <w:r>
        <w:rPr>
          <w:rFonts w:ascii="Times New Roman" w:hAnsi="Times New Roman"/>
          <w:sz w:val="20"/>
        </w:rPr>
        <w:t xml:space="preserve">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the United Kingdom, no shares have been offered or will be offered pursuant to the offering to the public in the United Kingdom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240" w:after="0"/>
        <w:jc w:val="both"/>
        <w:rPr>
          <w:rFonts w:ascii="Times New Roman" w:hAnsi="Times New Roman"/>
          <w:sz w:val="20"/>
        </w:rPr>
      </w:pPr>
      <w:r>
        <w:rPr>
          <w:rFonts w:ascii="Times New Roman" w:hAnsi="Times New Roman"/>
          <w:sz w:val="20"/>
        </w:rPr>
        <w:t xml:space="preserve">Each underwriter severally and not jointly represents, warrants and agrees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FSMA) in connection with the issue or sale of the shares in circumstances in which Section 21(1) of the FSMA does not apply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shares in, from or otherwise involving, the United Kingdom.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06443_8"/>
      <w:bookmarkEnd w:id="10"/>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common stock offered hereby will be passed upon for us by Goodwin Procter LLP, Boston, Massachusetts. The underwriters are being represented in connection with this offering by Ropes &amp; Gray LLP, Boston, Massachusetts. </w:t>
      </w:r>
    </w:p>
    <w:p>
      <w:pPr>
        <w:pStyle w:val="TextBody"/>
        <w:bidi w:val="0"/>
        <w:spacing w:before="480" w:after="0"/>
        <w:jc w:val="center"/>
        <w:rPr>
          <w:rFonts w:ascii="Times New Roman" w:hAnsi="Times New Roman"/>
          <w:b/>
          <w:sz w:val="20"/>
        </w:rPr>
      </w:pPr>
      <w:bookmarkStart w:id="11" w:name="supptoc106443_9"/>
      <w:bookmarkEnd w:id="11"/>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consolidated financial statements of Bicara Therapeutics Inc. as of December 31, 2024 and 2023, and for the years then ended, have been incorporated by reference herein and in the registration statement in reliance on the report of KPMG LLP, independent registered public accounting firm, incorporated by reference herein, and upon the authority of said firm as experts in accounting and auditing. </w:t>
      </w:r>
    </w:p>
    <w:p>
      <w:pPr>
        <w:pStyle w:val="TextBody"/>
        <w:bidi w:val="0"/>
        <w:spacing w:before="480" w:after="0"/>
        <w:jc w:val="center"/>
        <w:rPr>
          <w:rFonts w:ascii="Times New Roman" w:hAnsi="Times New Roman"/>
          <w:b/>
          <w:sz w:val="20"/>
        </w:rPr>
      </w:pPr>
      <w:bookmarkStart w:id="12" w:name="supptoc106443_10"/>
      <w:bookmarkEnd w:id="12"/>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and on our investor website at </w:t>
      </w:r>
      <w:r>
        <w:rPr>
          <w:rFonts w:ascii="Times New Roman" w:hAnsi="Times New Roman"/>
          <w:i/>
          <w:sz w:val="20"/>
        </w:rPr>
        <w:t xml:space="preserve">www.bicara.com. </w:t>
      </w:r>
      <w:r>
        <w:rPr>
          <w:rFonts w:ascii="Times New Roman" w:hAnsi="Times New Roman"/>
          <w:sz w:val="20"/>
        </w:rPr>
        <w:t xml:space="preserve">Information contained in or accessible through our website is not a part of this prospectus supplement or the accompanying prospectus and is not incorporated by reference in this prospectus supplement or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and the accompanying prospectus are part of a registration statement that we have filed with the SEC. Certain information in the registration statement has been omitted from this prospectus supplement in accordance with the rules of the SEC. For further information with respect to us and the securities offered by this prospectus supplement, we refer you to the registration statement of which this prospectus supplement is a part and the exhibits to such registration statement. Statements contained in this prospectus supplement or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06443_11"/>
      <w:bookmarkEnd w:id="13"/>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2024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which was filed with the SEC on April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Quarterly Reports on Form 10-Q for the fiscal quarters ended March 31, 2025, June 30, 2025 and September 30, 2025, filed with the SEC </w:t>
            </w:r>
            <w:hyperlink r:id="rId6">
              <w:r>
                <w:rPr>
                  <w:rStyle w:val="InternetLink"/>
                  <w:rFonts w:ascii="Times New Roman" w:hAnsi="Times New Roman"/>
                  <w:sz w:val="20"/>
                </w:rPr>
                <w:t>May  13, 2025</w:t>
              </w:r>
            </w:hyperlink>
            <w:r>
              <w:rPr>
                <w:rFonts w:ascii="Times New Roman" w:hAnsi="Times New Roman"/>
                <w:sz w:val="20"/>
              </w:rPr>
              <w:t xml:space="preserve">, </w:t>
            </w:r>
            <w:hyperlink r:id="rId7">
              <w:r>
                <w:rPr>
                  <w:rStyle w:val="InternetLink"/>
                  <w:rFonts w:ascii="Times New Roman" w:hAnsi="Times New Roman"/>
                  <w:sz w:val="20"/>
                </w:rPr>
                <w:t>August  12, 2025</w:t>
              </w:r>
            </w:hyperlink>
            <w:r>
              <w:rPr>
                <w:rFonts w:ascii="Times New Roman" w:hAnsi="Times New Roman"/>
                <w:sz w:val="20"/>
              </w:rPr>
              <w:t xml:space="preserve"> and </w:t>
            </w:r>
            <w:hyperlink r:id="rId8">
              <w:r>
                <w:rPr>
                  <w:rStyle w:val="InternetLink"/>
                  <w:rFonts w:ascii="Times New Roman" w:hAnsi="Times New Roman"/>
                  <w:sz w:val="20"/>
                </w:rPr>
                <w:t>November 10,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Current Reports on Form 8-K, filed with the SEC </w:t>
            </w:r>
            <w:hyperlink r:id="rId9">
              <w:r>
                <w:rPr>
                  <w:rStyle w:val="InternetLink"/>
                  <w:rFonts w:ascii="Times New Roman" w:hAnsi="Times New Roman"/>
                  <w:sz w:val="20"/>
                </w:rPr>
                <w:t>June 6, 2025</w:t>
              </w:r>
            </w:hyperlink>
            <w:r>
              <w:rPr>
                <w:rFonts w:ascii="Times New Roman" w:hAnsi="Times New Roman"/>
                <w:sz w:val="20"/>
              </w:rPr>
              <w:t xml:space="preserve">, </w:t>
            </w:r>
            <w:hyperlink r:id="rId10">
              <w:r>
                <w:rPr>
                  <w:rStyle w:val="InternetLink"/>
                  <w:rFonts w:ascii="Times New Roman" w:hAnsi="Times New Roman"/>
                  <w:sz w:val="20"/>
                </w:rPr>
                <w:t>June  12, 2025</w:t>
              </w:r>
            </w:hyperlink>
            <w:r>
              <w:rPr>
                <w:rFonts w:ascii="Times New Roman" w:hAnsi="Times New Roman"/>
                <w:sz w:val="20"/>
              </w:rPr>
              <w:t xml:space="preserve">, </w:t>
            </w:r>
            <w:hyperlink r:id="rId11">
              <w:r>
                <w:rPr>
                  <w:rStyle w:val="InternetLink"/>
                  <w:rFonts w:ascii="Times New Roman" w:hAnsi="Times New Roman"/>
                  <w:sz w:val="20"/>
                </w:rPr>
                <w:t>December  8, 2025</w:t>
              </w:r>
            </w:hyperlink>
            <w:r>
              <w:rPr>
                <w:rFonts w:ascii="Times New Roman" w:hAnsi="Times New Roman"/>
                <w:sz w:val="20"/>
              </w:rPr>
              <w:t xml:space="preserve">, </w:t>
            </w:r>
            <w:hyperlink r:id="rId12">
              <w:r>
                <w:rPr>
                  <w:rStyle w:val="InternetLink"/>
                  <w:rFonts w:ascii="Times New Roman" w:hAnsi="Times New Roman"/>
                  <w:sz w:val="20"/>
                </w:rPr>
                <w:t>January  12, 2026</w:t>
              </w:r>
            </w:hyperlink>
            <w:r>
              <w:rPr>
                <w:rFonts w:ascii="Times New Roman" w:hAnsi="Times New Roman"/>
                <w:sz w:val="20"/>
              </w:rPr>
              <w:t xml:space="preserve">, and </w:t>
            </w:r>
            <w:hyperlink r:id="rId13">
              <w:r>
                <w:rPr>
                  <w:rStyle w:val="InternetLink"/>
                  <w:rFonts w:ascii="Times New Roman" w:hAnsi="Times New Roman"/>
                  <w:sz w:val="20"/>
                </w:rPr>
                <w:t>February 19,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description of our common stock contained in our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 No. 001-42271) as filed with the SEC on September 10, 2024, including any amendments or reports filed for the purpose of updating such description, including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2024, as filed with the SEC on March 27,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the accompanying prospectus or the registration statement of which this prospectus supplement is a part. </w:t>
      </w:r>
    </w:p>
    <w:p>
      <w:pPr>
        <w:pStyle w:val="TextBody"/>
        <w:bidi w:val="0"/>
        <w:spacing w:before="240" w:after="0"/>
        <w:jc w:val="both"/>
        <w:rPr>
          <w:rFonts w:ascii="Times New Roman" w:hAnsi="Times New Roman"/>
          <w:sz w:val="20"/>
        </w:rPr>
      </w:pPr>
      <w:r>
        <w:rPr>
          <w:rFonts w:ascii="Times New Roman" w:hAnsi="Times New Roman"/>
          <w:sz w:val="20"/>
        </w:rPr>
        <w:t xml:space="preserve">We also incorporate by reference any filings made after the date of effectiveness of the registration statement with the SEC under Sections 13(a), 13(c), 14 or 15(d) of the Exchange Act, except as to any portion of any future report or document that is not deemed filed under such provisions, until the offering of the securities made by this prospectus supplement is completed or terminated. </w:t>
      </w:r>
    </w:p>
    <w:p>
      <w:pPr>
        <w:pStyle w:val="TextBody"/>
        <w:bidi w:val="0"/>
        <w:spacing w:before="240" w:after="0"/>
        <w:jc w:val="both"/>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Bicara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116 Huntington Avenue, Suite 703 </w:t>
      </w:r>
    </w:p>
    <w:p>
      <w:pPr>
        <w:pStyle w:val="TextBody"/>
        <w:bidi w:val="0"/>
        <w:spacing w:before="0" w:after="0"/>
        <w:jc w:val="center"/>
        <w:rPr>
          <w:rFonts w:ascii="Times New Roman" w:hAnsi="Times New Roman"/>
          <w:sz w:val="20"/>
        </w:rPr>
      </w:pPr>
      <w:r>
        <w:rPr>
          <w:rFonts w:ascii="Times New Roman" w:hAnsi="Times New Roman"/>
          <w:sz w:val="20"/>
        </w:rPr>
        <w:t xml:space="preserve">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(617) 468-4219 </w:t>
      </w:r>
    </w:p>
    <w:p>
      <w:pPr>
        <w:pStyle w:val="TextBody"/>
        <w:bidi w:val="0"/>
        <w:spacing w:before="240" w:after="0"/>
        <w:jc w:val="both"/>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 xml:space="preserve">www.sec.gov </w:t>
      </w:r>
      <w:r>
        <w:rPr>
          <w:rFonts w:ascii="Times New Roman" w:hAnsi="Times New Roman"/>
          <w:sz w:val="20"/>
        </w:rPr>
        <w:t xml:space="preserve">or on our website at </w:t>
      </w:r>
      <w:r>
        <w:rPr>
          <w:rFonts w:ascii="Times New Roman" w:hAnsi="Times New Roman"/>
          <w:i/>
          <w:sz w:val="20"/>
        </w:rPr>
        <w:t>www.bicara.com</w:t>
      </w:r>
      <w:r>
        <w:rPr>
          <w:rFonts w:ascii="Times New Roman" w:hAnsi="Times New Roman"/>
          <w:sz w:val="20"/>
        </w:rPr>
        <w:t xml:space="preserve">. Information contained in or accessible through our website does not constitute a part of this prospectus supplement or the accompanying prospectus and is not incorporated by reference in this prospectus supplement or the accompanying prospectus. We have included our website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This prospectus supplement is part of a registration statement we filed with the SEC. We have incorporated exhibits into this registration statement. You should read the exhibits carefully for provisions that may be important to you. </w:t>
      </w:r>
    </w:p>
    <w:p>
      <w:pPr>
        <w:pStyle w:val="TextBody"/>
        <w:bidi w:val="0"/>
        <w:spacing w:before="240" w:after="0"/>
        <w:jc w:val="both"/>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herein or therein is accurate as of any date other than the date on the cover of this prospectus supplement, the accompanying prospectus or those documents incorporated by reference herein or therein.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$400,000,000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91030" cy="56388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16"/>
                    <a:stretch>
                      <a:fillRect/>
                    </a:stretch>
                  </pic:blipFill>
                  <pic:spPr bwMode="auto">
                    <a:xfrm>
                      <a:off x="0" y="0"/>
                      <a:ext cx="1891030" cy="5638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in one or more series or classes, up to $400,000,000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applicable prospectus supplement. For additional information on the methods of sale, you should refer to the section entitled “Plan of Distribution” in this prospectus and in the applicable prospectus supplement. We may not sell any securities under this prospectus without delivery of the applicable prospectus supplement. You should read this document and any prospectus supplement or amendment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“smaller reporting company” under the federal securities laws and, as such, are subject to reduced public company reporting requirements. See “Prospectus Summary-Implications of Being an Emerging Growth Company and a Smaller Reporting Company.”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“BCAX.” On October 1, 2025, the closing price for our common stock, as reported on The Nasdaq Global Market, was $16.61 per share. The applicable prospectus supplement will contain information, where applicable, as to any other listing on The Nasdaq Global Market or any securities market or other exchange of the securities, if any, covered by the prospectus supplement. </w:t>
      </w:r>
    </w:p>
    <w:p>
      <w:pPr>
        <w:pStyle w:val="TextBody"/>
        <w:bidi w:val="0"/>
        <w:spacing w:before="240" w:after="0"/>
        <w:jc w:val="left"/>
        <w:rPr/>
      </w:pPr>
      <w:r>
        <w:rPr>
          <w:rFonts w:ascii="Times New Roman" w:hAnsi="Times New Roman"/>
          <w:b/>
          <w:sz w:val="24"/>
        </w:rPr>
        <w:t>Investing in these securities involves certain risks. See “</w:t>
      </w:r>
      <w:hyperlink w:anchor="toc106443_2">
        <w:r>
          <w:rPr>
            <w:rStyle w:val="InternetLink"/>
            <w:rFonts w:ascii="Times New Roman" w:hAnsi="Times New Roman"/>
            <w:b/>
            <w:sz w:val="24"/>
          </w:rPr>
          <w:t>Risk Factors</w:t>
        </w:r>
      </w:hyperlink>
      <w:r>
        <w:rPr>
          <w:rFonts w:ascii="Times New Roman" w:hAnsi="Times New Roman"/>
          <w:b/>
          <w:sz w:val="24"/>
        </w:rPr>
        <w:t xml:space="preserve">” on page 1 of this prospectus as well as those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26,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3">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4">
              <w:r>
                <w:rPr>
                  <w:rStyle w:val="InternetLink"/>
                  <w:rFonts w:ascii="Times New Roman" w:hAnsi="Times New Roman"/>
                  <w:sz w:val="20"/>
                </w:rPr>
                <w:t>Our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6">
              <w:r>
                <w:rPr>
                  <w:rStyle w:val="InternetLink"/>
                  <w:rFonts w:ascii="Times New Roman" w:hAnsi="Times New Roman"/>
                  <w:sz w:val="20"/>
                </w:rPr>
                <w:t>Securities that may be Offered</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9">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1">
              <w:r>
                <w:rPr>
                  <w:rStyle w:val="InternetLink"/>
                  <w:rFonts w:ascii="Times New Roman" w:hAnsi="Times New Roman"/>
                  <w:sz w:val="20"/>
                </w:rPr>
                <w:t>Material U.S. Federal Income Tax Considerations for Non-U.S. 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5">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6443_16">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06443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$400,000,000.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any applicable accompanying prospectus supplement, and any related free writing prospectus, together with the additional information described under the headings “Where You Can Find More Information” and “Incorporation by Reference” beginning on page 32 and page 33 of this prospectus, respectively.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does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accompanying prospectus supplement, the documents incorporated by reference and any related free writing prospectus is accurate only as of their respective dates.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are responsible for all of the disclosures contained in this prospectus, and we believe that these sources are reliable; however, we have not independently verified the information contained in such publications.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AND SELL SECURITIES UNLESS IT IS ACCOMPANIED BY AN ADDITIONAL PROSPECTUS OR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otherwise requires, references to the terms “Bicara,” “Bicara Therapeutics,” “the Company,” “we,” “us” and “our,” and similar designations refer to Bicara Therapeutics Inc. and, where appropriate, our wholly-owned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We intend to apply for various trademarks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SM and  symbols, but the omission of such references is not intended to indicate, in any way, that we will not assert, to the fullest extent under applicable law, our rights or the right of the applicable owner of these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06443_2"/>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Additional risks and uncertainties not presently known to us or that we currently believe to be immaterial may also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as applicable, and the other documents we file with the SEC that are deemed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06443_3"/>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All statements, other than statements of historical fact, contained herein, including statements regarding our plans, objectives and expectations for our business, operations and financial performance and condition, and can be identified by terminology such as “anticipate,” “believe,” “contemplate,” “continue,” “could,” “estimate,” “expect,” “goal,” “hope,” “intend,” “may,” “might,” “plan,” “possible,” “potential,” “predict,” “project,” “seek,” “should,” “strategy,” “target,” “will,” “would,” “can,” “future” or the negative of these words or other similar expressions.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ficerafusp alfa, including the FORTIFI-HN01 pivotal Phase 2/3, or FORTIFI-HN01 Phase 2/3 trial or FORTIFI-HN01, a trial in head and neck squamous cell carcinoma, or HNSCC, and the potential expansion Phase 1/1b trial in additional HNSCC and solid tumor patient populations, as well as our research and development programs and our current and future preclinical and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the potential to secure pembrolizumab for our clinical trials and successfully manufacture our drug substances and ficerafusp alfa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clinical trials to demonstrate safety and efficacy of ficerafusp alfa,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and likelihood of regulatory filings and approvals, for ficerafusp alfa and future product candidates, including the timing of Investigational New Drug applications, or INDs, and final U.S. Food and Drug Administration, or FDA approval of ficerafusp alfa or any future product candidate, as well as ficerafusp alfa’s potential to be first-in-class;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or likelihood of foreign regulatory filings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that we will enroll and our ability to initiate, recruit and enroll patients in and conduct and successfully complete our clinical trials at the pace that we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further develop the specific shipping, storage, handling and administration of ficerafusp alfa at the clinical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ficerafusp alfa,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ficerafusp alfa,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ficerafusp alfa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ficerafusp alfa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and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development and commercialization of ficerafusp alfa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ficerafusp alfa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ficerafusp alfa;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U.S., Canada, European Union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ficerafusp alfa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and cash equivalents.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Part I, Item 1A “Risk Factors” and elsewhere in our most recent Annual Report on Form 10-K and our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Quarterly Reports on Form 10-Q, and the section of any accompanying prospectus supplement entitled “Risk Factors”, as well as in other filings made with the SEC subsequent to the date hereof that are incorporated by reference herein.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06443_4"/>
      <w:bookmarkEnd w:id="18"/>
      <w:r>
        <w:rPr>
          <w:rFonts w:ascii="Times New Roman" w:hAnsi="Times New Roman"/>
          <w:b/>
          <w:sz w:val="20"/>
        </w:rPr>
        <w:t xml:space="preserve">OUR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committed to bringing transformative bifunctional therapies to patients with solid tumors. Our lead program ficerafusp alfa is a potential first-in-class bifunctional antibody designed to drive tumor penetration by breaking barriers in the tumor microenvironment that have challenged the treatment of multiple solid tumor cancers. Specifically, ficerafusp alfa combines two clinically validated targets, an epidermal growth factor receptor directed monoclonal antibody with a domain that binds to human transforming growth factor beta (“TGF-ß”). Through this dual-targeting mechanism, ficerafusp alfa may reverse the fibrotic and immune-excluded tumor microenvironment driven by TGF-ß signaling and enable tumor penetration to potentially drive deep and durable responses. Ficerafusp alfa is initially being developed in head and neck squamous cell carcinoma (“HNSCC”) where there remains a significant unmet need. We initiated a pivotal Phase 2/3 trial (FORTIFI-HN01) of ficerafusp alfa in combination with pembrolizumab as a first-line (“1L”) therapy in recurrent/metastatic (“R/M”) HNSCC excluding patients with human papillomavirus (HPV)-positive oropharyngeal squamous cell carcinoma in the fourth quarter of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Our current development plan for ficerafusp alfa is summarized in the following pipeline chart: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8340" cy="242951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17"/>
                    <a:stretch>
                      <a:fillRect/>
                    </a:stretch>
                  </pic:blipFill>
                  <pic:spPr bwMode="auto">
                    <a:xfrm>
                      <a:off x="0" y="0"/>
                      <a:ext cx="5768340" cy="24295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16"/>
        </w:rPr>
      </w:pPr>
      <w:r>
        <w:rPr>
          <w:rFonts w:ascii="Times New Roman" w:hAnsi="Times New Roman"/>
          <w:sz w:val="16"/>
        </w:rPr>
        <w:t xml:space="preserve">QW = once weekly; CPS = combined positive score; RT = radiation therapy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Phase 1/1b Clinical Trial Highlights </w:t>
      </w:r>
    </w:p>
    <w:p>
      <w:pPr>
        <w:pStyle w:val="TextBody"/>
        <w:bidi w:val="0"/>
        <w:spacing w:before="120" w:after="0"/>
        <w:jc w:val="left"/>
        <w:rPr>
          <w:rFonts w:ascii="Times New Roman" w:hAnsi="Times New Roman"/>
          <w:sz w:val="20"/>
        </w:rPr>
      </w:pPr>
      <w:r>
        <w:rPr>
          <w:rFonts w:ascii="Times New Roman" w:hAnsi="Times New Roman"/>
          <w:sz w:val="20"/>
        </w:rPr>
        <w:t xml:space="preserve">In June 2025, we presented data from our Phase 1/1b clinical trial of ficerafusp alfa in combination with pembrolizumab in patients with 1L R/M HNSCC at the 2025 American Society of Clinical Oncology Annual Meeting. Key highlights from the presentation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Phase 1/1b trial, ficerafusp alfa in combination with pembrolizumab resulted in deep and durable anti-tumor activity with improved overall survival (“OS”) compared to historical benchmarks in patients with 1L R/M HPV-negative HNSCC with a PD-L1 combined positive score of ≥1 and with at least 24 months of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efficacy evaluable HPV-negative population that received the 1500 mg dose of ficerafusp alfa in combination with pembrolizumab (n=28):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duration of response of 21.7 months amongst responders (n=15).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OS of 21.3 months; 2-year OS rate of 46%.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 (15/28) confirmed objective response rate (“ORR”).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(12/15) of responders achieved a deep response (≥80% tumor shrinkage).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progression-free survival of 9.9 months.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observed a manageable safety profile in the Phase 1/1b trial, consistent with previously reported adverse events.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2025, in connection with ongoing litigation with Y-Trap, Inc. (“Y-Trap”), as described under Part II, Item 1 —Legal Proceedings of our Quarterly Report on Form 10-Q for the period ended June 30, 2025, we and our co-defendant, Biocon LTD., moved to dismiss all of Y-Trap’s claims. On September 30, 2025, the court denied Bicara’s motion. We will continue to vigorously defend against this litigation. </w:t>
      </w:r>
    </w:p>
    <w:p>
      <w:pPr>
        <w:pStyle w:val="TextBody"/>
        <w:bidi w:val="0"/>
        <w:spacing w:before="120" w:after="0"/>
        <w:jc w:val="left"/>
        <w:rPr>
          <w:rFonts w:ascii="Times New Roman" w:hAnsi="Times New Roman"/>
          <w:b/>
          <w:sz w:val="20"/>
        </w:rPr>
      </w:pPr>
      <w:r>
        <w:rPr>
          <w:rFonts w:ascii="Times New Roman" w:hAnsi="Times New Roman"/>
          <w:b/>
          <w:sz w:val="20"/>
        </w:rPr>
        <w:t xml:space="preserve">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under the laws of the State of Delaware on December 12, 2018 under the name “Bicara Therapeutics Inc.” Our principal executive office is located at 116 Huntington Avenue, Suite 703, Boston, MA 02116, and our telephone number is 617-468-4219. We have one subsidiary, Bicara Securities Corporation, formed in October 2023 under the laws of the Commonwealth of Massachusetts. Our website address is </w:t>
      </w:r>
      <w:r>
        <w:rPr>
          <w:rFonts w:ascii="Times New Roman" w:hAnsi="Times New Roman"/>
          <w:i/>
          <w:sz w:val="20"/>
        </w:rPr>
        <w:t>www.bicara.com</w:t>
      </w:r>
      <w:r>
        <w:rPr>
          <w:rFonts w:ascii="Times New Roman" w:hAnsi="Times New Roman"/>
          <w:sz w:val="20"/>
        </w:rPr>
        <w:t xml:space="preserve">. The information contained in, or that can be accessed through, our website does not constitute a part of this prospectus, and is not incorporated by reference in this prospectus or in any other filings we make with the SEC. We have included our website address in this prospectus solely as an inactive textual reference. Our common stock trades on The Nasdaq Global Market under the symbol “BCAX.”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pursuant to the Sarbanes-Oxley Act of 2002;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is less than $700 million as of the last business day of the most recently completed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06443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general corporate purposes. General corporate purposes may include, without limitation, research and development and clinical development costs to support the advancement of our current or future product candidates and the expansion of our research and development programs; working capital; capital expenditures;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06443_6"/>
      <w:bookmarkEnd w:id="20"/>
      <w:r>
        <w:rPr>
          <w:rFonts w:ascii="Times New Roman" w:hAnsi="Times New Roman"/>
          <w:b/>
          <w:sz w:val="20"/>
        </w:rPr>
        <w:t xml:space="preserve">SECURITIES THAT MAY BE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06443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 We refer in this section to our third amended and restated certificate of incorporation as our certificate of incorporation, and we refer to our amended and restated by-laws as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500,000,000 shares of common stock, par value $0.0001 per share (“common stock”), and 10,000,000 shares of preferred stock, par value $0.0001 per share (“preferred stock”), all of which shares of preferred stock are undesignated. The following description of our capital stock and provisions of our certificate of incorporation and bylaws are summaries and are qualified by reference to our certificate of incorporation and our bylaws, in each case, as amended and supplemented.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outstanding 54,612,477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Only our common stock is registered under Section 12 of the Securities Exchange Act of 1934, as amended (the “Exchange Act”).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All of our outstanding shares of common stock are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no shares of our preferred stock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rights with respect to the registration of these securities under the Securities Act of 1933, as amended (the “Securities Act”). These shares are referred to as registrable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These rights are provided under the terms of our amended and restated investors’ rights agreement, dated December 6, 2023 (“investors’ rights agreement”), and are described in additional detail below. The investors’ rights agreement includes demand registration rights, short-form registration rights and piggyback registration rights. All fees, costs and expenses of underwritten registrations under this agreement will be borne by us. All selling expenses, including underwriting discounts and selling commissions, will be borne by the holders of the shares being registered.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demand registration rights. Under the terms of the investors’ rights agreement, if, at any time after the earlier of (i) four years after the date of the investors’ rights agreement or (ii) six months after the completion of our initial public offering, we will be required, upon the written request from holders of ten percent of the registrable securities then outstanding that would result in an aggregate offering price of at least $10 million, to file a registration statement on Form S-1 with respect to the registrable securities then outstanding and to use commercially reasonable efforts to effect the registration of all or a portion of these shares for public resale.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Short-form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short-form registration rights. Under the terms of the investors’ rights agreement, if we are eligible to file a registration statement on Form S-3, upon the written request of at least 20% in interest of these holders to sell registrable securities at an aggregate price of at least $4 million, we will be required to use commercially reasonable efforts to effect a registration of such shares. We are required to effect only one registration in any twelve month period pursuant to this provision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piggyback registration rights. Under the terms of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demand registration rights and short-form registration rights granted under the investors’ rights agreement will terminate on the fourth anniversary of the completion of our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Ordinarily, other than underwriting discounts and commissions, we are generally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blue-sky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limitation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Delaware General Corporation Law (“DGCL”) or our certificate of incorporation or bylaws (including the interpretation, validity or enforceability thereof) or as to which the DGCL confers jurisdiction on the Court of Chancery of the State of Delaware, or (iv) any action asserting a claim governed by the internal affairs doctrine. </w:t>
      </w:r>
    </w:p>
    <w:p>
      <w:pPr>
        <w:pStyle w:val="TextBody"/>
        <w:bidi w:val="0"/>
        <w:spacing w:before="240" w:after="0"/>
        <w:jc w:val="left"/>
        <w:rPr>
          <w:rFonts w:ascii="Times New Roman" w:hAnsi="Times New Roman"/>
          <w:sz w:val="20"/>
        </w:rPr>
      </w:pPr>
      <w:r>
        <w:rPr>
          <w:rFonts w:ascii="Times New Roman" w:hAnsi="Times New Roman"/>
          <w:sz w:val="20"/>
        </w:rPr>
        <w:t xml:space="preserve">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the Securities Act, or any other claim for which the federal courts have exclusive jurisdiction.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bylaws provide that any person or entity holding, owning or otherwise acquiring any interest in any of our securities shall be deemed to have notice of and consented to these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listed on The Nasdaq Global Market under the trading symbol “BCAX.”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agent’s address is 150 Royall Street, Canton, Massachusetts 02021.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06443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each offering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or subordinated;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debt securities of the series shall bear interest or the manner of calculation of such rate or rates,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such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debt securities of the series may be redeemed, converted or exchanged,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including the form of the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one thousand U.S. dollars ($1,000) or any integral multiple of $1,000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events of default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covenants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or alternative provisions, if any, related to defeasance and discharge of the offered debt securities than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insofar as it applies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without the consent of the holders of any outstanding debt securities, (i) consolidate with, (ii) sell, lease or convey all or substantially all of our assets to, or (iii)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applicable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90 days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on, any debt security of such series when due and payable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or warranty in the debt securities or in the indenture by us continuing for 90 days after written notice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or court appointment of a receiver, liquidator or trustee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interest and, to the extent permitted by law, interest on overdue installment of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applicable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applicable indenture or in the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covenant described above under “—Merger, Consolidation or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notes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applicable indenture by a successor trustee or to appoint a separate trustee with respect to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or any successor in connection with the qualification of the indenture under the Trust Indenture Act of 1939, as amended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applicable indenture to this “Description of Debt Securities” or any other similarly titled section in any prospectus supplement or other offering document relating to a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Payment by us of the principal of, premium, if any, and interest on any series of subordinated debt securities issued under the subordinated indenture will be subordinated to the extent set forth in an indenture supplemental to the subordinated indenture relating to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06443_9"/>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06443_10"/>
      <w:bookmarkEnd w:id="2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06443_11"/>
      <w:bookmarkEnd w:id="25"/>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not for U.S. federal income tax purposes a partnership (or other pass-through entity)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(the “IRS”), will not challenge one or more of the tax consequences described herein. We assume in this discussion that a non-U.S. holder holds shares of our common stock as a capital asset within the meaning of Section 1221 of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 contribution tax on net investment income, the rules regarding qualified small business stock within the meaning of Section 1202 of the Code, or any other aspect of any U.S. federal tax other than income taxes.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qualified foreign pension funds,” or entities wholly owned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partners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other integrated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any cash distributions on our common stock and we do not anticipate paying cash distributions on our common stock for the foreseeable future. Distributions, if any, on our common stock will generally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entitled “Backup Withholding and Information Reporting” and “Withholding and Information Reporting Requirements-FATCA.”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in the following two paragraphs in this section, any distribution on our common stock that is treated as a dividend paid to a non-U.S. holder generally will be subject to withholding of U.S. federal income tax at a 30 percent rate or a reduced rate specified by an applicable income tax treaty between the United States and such 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percent withholding tax if the non-U.S. holder satisfies applicable certification requirements. However, such U.S. effectively connected income, net of specified deductions and credits, is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percent rate or a reduced rate specified by an applicable income tax treaty between the United States and such 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of our common stock who claims the benefit of an applicable income tax treaty between the United States and such holder’s country of residence generally will be required to provide a properly executed IRS Form W-8BEN or W-8BEN-E (or other applicable or successor form) to the applicable withholding agent and satisfy applicable certification and other requirements. Any documentation provided to an applicable withholding agent may need to be updated in certain circumstances.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Gain on Sale or Other Taxable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“Withholding and Information Reporting Requirements-FATCA,” a non-U.S. holder generally will not be subject to any U.S. federal income or withholding tax on any gain realized upon such holder’s sale or other taxable disposition of shares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a period or periods aggregating 183 days or more in the taxable year of the disposition and certain other conditions are met, in which case the non-U.S. holder will be subject to a 30 percent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sale or other taxable disposition (or the non-U.S. holder’s holding period, if shorter) a “U.S. real property holding corporation,” as described below, unless our common stock is regularly traded on an established securities market and the non-U.S. holder holds no more than 5 percent of our outstanding common stock, directly, indirectly, or constructively, during the shorter of the 5-year period ending on the date of the disposition or the period that the non-U.S. holder held our common stock. Generally, a corporation is a U.S. real property holding corporation if the fair market value of its U.S. real property interests, as defined in the Code and applicable Treasury regulations, equals or exceeds 50 percent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(or the applicable paying agent) must report annually to the IRS and to each non-U.S. holder the gross amount of the distributions on our common stock paid to such holder and the tax withheld, if any, with respect to such distributions. A non-U.S. holder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may be treated in a manner similar to dispositions effected through a U.S. office of a broker.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and Information Reporting Requirements - 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generally imposes a U.S. federal withholding tax at a rate of 30 percent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percent applicable to the gross proceeds of a sale or other disposition of our common stock. In the preamble to such proposed regulations, the U.S. Treasury stated that taxpayers (including withholding agents)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percent withholding tax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06443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(“FINRA”).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06443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Goodwin Procter LLP, Boston, Massachusetts. Any underwriters will also be advised about the validity of the securities and other legal matters by their own counsel, which will be named in the prospectus supplement. </w:t>
      </w:r>
    </w:p>
    <w:p>
      <w:pPr>
        <w:pStyle w:val="TextBody"/>
        <w:bidi w:val="0"/>
        <w:spacing w:before="480" w:after="0"/>
        <w:jc w:val="center"/>
        <w:rPr>
          <w:rFonts w:ascii="Times New Roman" w:hAnsi="Times New Roman"/>
          <w:b/>
          <w:sz w:val="20"/>
        </w:rPr>
      </w:pPr>
      <w:bookmarkStart w:id="28" w:name="toc106443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Bicara Therapeutics Inc. as of December 31, 2024 and 2023, and for the years then ended, have been incorporated by reference herein and in the registration statement in reliance on the report of KPMG LLP, independent registered public accounting firm, incorporated by reference herein, and upon the authority of said firm as experts in accounting and auditing. </w:t>
      </w:r>
    </w:p>
    <w:p>
      <w:pPr>
        <w:pStyle w:val="TextBody"/>
        <w:bidi w:val="0"/>
        <w:spacing w:before="480" w:after="0"/>
        <w:jc w:val="center"/>
        <w:rPr>
          <w:rFonts w:ascii="Times New Roman" w:hAnsi="Times New Roman"/>
          <w:b/>
          <w:sz w:val="20"/>
        </w:rPr>
      </w:pPr>
      <w:bookmarkStart w:id="29" w:name="toc106443_15"/>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 xml:space="preserve">www.sec.gov </w:t>
      </w:r>
      <w:r>
        <w:rPr>
          <w:rFonts w:ascii="Times New Roman" w:hAnsi="Times New Roman"/>
          <w:sz w:val="20"/>
        </w:rPr>
        <w:t xml:space="preserve">and on our website at </w:t>
      </w:r>
      <w:r>
        <w:rPr>
          <w:rFonts w:ascii="Times New Roman" w:hAnsi="Times New Roman"/>
          <w:i/>
          <w:sz w:val="20"/>
        </w:rPr>
        <w:t>www.bicara.com</w:t>
      </w:r>
      <w:r>
        <w:rPr>
          <w:rFonts w:ascii="Times New Roman" w:hAnsi="Times New Roman"/>
          <w:sz w:val="20"/>
        </w:rPr>
        <w:t xml:space="preserve">. Information contained in, or that can be accessed through, our website is not a part of this prospectus and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Bicara Therapeutics Inc., 116 Huntington Avenue, Suite 703, Boston, MA 02116.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06443_16"/>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2024, filed with the SEC on </w:t>
            </w:r>
            <w:hyperlink r:id="rId18">
              <w:r>
                <w:rPr>
                  <w:rStyle w:val="InternetLink"/>
                  <w:rFonts w:ascii="Times New Roman" w:hAnsi="Times New Roman"/>
                  <w:sz w:val="20"/>
                </w:rPr>
                <w:t>March 27,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Schedule 14A (other than information furnished rather than filed), which was filed with the SEC on </w:t>
            </w:r>
            <w:hyperlink r:id="rId19">
              <w:r>
                <w:rPr>
                  <w:rStyle w:val="InternetLink"/>
                  <w:rFonts w:ascii="Times New Roman" w:hAnsi="Times New Roman"/>
                  <w:sz w:val="20"/>
                </w:rPr>
                <w:t>April  24,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March 31, 2025 and June 30, 2025, filed with the SEC on </w:t>
            </w:r>
            <w:hyperlink r:id="rId20">
              <w:r>
                <w:rPr>
                  <w:rStyle w:val="InternetLink"/>
                  <w:rFonts w:ascii="Times New Roman" w:hAnsi="Times New Roman"/>
                  <w:sz w:val="20"/>
                </w:rPr>
                <w:t>May  13, 2025</w:t>
              </w:r>
            </w:hyperlink>
            <w:r>
              <w:rPr>
                <w:rFonts w:ascii="Times New Roman" w:hAnsi="Times New Roman"/>
                <w:sz w:val="20"/>
              </w:rPr>
              <w:t xml:space="preserve"> and </w:t>
            </w:r>
            <w:hyperlink r:id="rId21">
              <w:r>
                <w:rPr>
                  <w:rStyle w:val="InternetLink"/>
                  <w:rFonts w:ascii="Times New Roman" w:hAnsi="Times New Roman"/>
                  <w:sz w:val="20"/>
                </w:rPr>
                <w:t>August 12,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2">
              <w:r>
                <w:rPr>
                  <w:rStyle w:val="InternetLink"/>
                  <w:rFonts w:ascii="Times New Roman" w:hAnsi="Times New Roman"/>
                  <w:sz w:val="20"/>
                </w:rPr>
                <w:t>June  6, 2025</w:t>
              </w:r>
            </w:hyperlink>
            <w:r>
              <w:rPr>
                <w:rFonts w:ascii="Times New Roman" w:hAnsi="Times New Roman"/>
                <w:sz w:val="20"/>
              </w:rPr>
              <w:t xml:space="preserve"> and </w:t>
            </w:r>
            <w:hyperlink r:id="rId23">
              <w:r>
                <w:rPr>
                  <w:rStyle w:val="InternetLink"/>
                  <w:rFonts w:ascii="Times New Roman" w:hAnsi="Times New Roman"/>
                  <w:sz w:val="20"/>
                </w:rPr>
                <w:t>June 12,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 No. 001-42271) as filed with the SEC on </w:t>
            </w:r>
            <w:hyperlink r:id="rId24">
              <w:r>
                <w:rPr>
                  <w:rStyle w:val="InternetLink"/>
                  <w:rFonts w:ascii="Times New Roman" w:hAnsi="Times New Roman"/>
                  <w:sz w:val="20"/>
                </w:rPr>
                <w:t>September  10, 2024</w:t>
              </w:r>
            </w:hyperlink>
            <w:r>
              <w:rPr>
                <w:rFonts w:ascii="Times New Roman" w:hAnsi="Times New Roman"/>
                <w:sz w:val="20"/>
              </w:rPr>
              <w:t xml:space="preserve">, including any amendments or reports filed for the purpose of updating such description, including </w:t>
            </w:r>
            <w:hyperlink r:id="rId2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2024, as filed with the SEC on March 27,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Bicara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116 Huntington Avenue, Suite 703 </w:t>
      </w:r>
    </w:p>
    <w:p>
      <w:pPr>
        <w:pStyle w:val="TextBody"/>
        <w:bidi w:val="0"/>
        <w:spacing w:before="0" w:after="0"/>
        <w:jc w:val="center"/>
        <w:rPr>
          <w:rFonts w:ascii="Times New Roman" w:hAnsi="Times New Roman"/>
          <w:sz w:val="20"/>
        </w:rPr>
      </w:pPr>
      <w:r>
        <w:rPr>
          <w:rFonts w:ascii="Times New Roman" w:hAnsi="Times New Roman"/>
          <w:sz w:val="20"/>
        </w:rPr>
        <w:t xml:space="preserve">Boston, MA 02116 </w:t>
      </w:r>
    </w:p>
    <w:p>
      <w:pPr>
        <w:pStyle w:val="TextBody"/>
        <w:bidi w:val="0"/>
        <w:spacing w:before="0" w:after="0"/>
        <w:jc w:val="center"/>
        <w:rPr>
          <w:rFonts w:ascii="Times New Roman" w:hAnsi="Times New Roman"/>
          <w:sz w:val="20"/>
        </w:rPr>
      </w:pPr>
      <w:r>
        <w:rPr>
          <w:rFonts w:ascii="Times New Roman" w:hAnsi="Times New Roman"/>
          <w:sz w:val="20"/>
        </w:rPr>
        <w:t xml:space="preserve">(617) 468-4219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 xml:space="preserve">www.sec.gov </w:t>
      </w:r>
      <w:r>
        <w:rPr>
          <w:rFonts w:ascii="Times New Roman" w:hAnsi="Times New Roman"/>
          <w:sz w:val="20"/>
        </w:rPr>
        <w:t xml:space="preserve">or on our website at </w:t>
      </w:r>
      <w:r>
        <w:rPr>
          <w:rFonts w:ascii="Times New Roman" w:hAnsi="Times New Roman"/>
          <w:i/>
          <w:sz w:val="20"/>
        </w:rPr>
        <w:t>www.bicara.com</w:t>
      </w:r>
      <w:r>
        <w:rPr>
          <w:rFonts w:ascii="Times New Roman" w:hAnsi="Times New Roman"/>
          <w:sz w:val="20"/>
        </w:rPr>
        <w:t xml:space="preserve">. Information contained in or accessible through our website does not constitute a part of this prospectus and is not incorporated by reference in this prospectus. We have included our website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36"/>
        </w:rPr>
      </w:pPr>
      <w:r>
        <w:rPr>
          <w:rFonts w:ascii="Times New Roman" w:hAnsi="Times New Roman"/>
          <w:i/>
          <w:sz w:val="36"/>
        </w:rPr>
        <w:t xml:space="preserve">$150,000,000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54935" cy="77089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26"/>
                    <a:stretch>
                      <a:fillRect/>
                    </a:stretch>
                  </pic:blipFill>
                  <pic:spPr bwMode="auto">
                    <a:xfrm>
                      <a:off x="0" y="0"/>
                      <a:ext cx="2654935" cy="770890"/>
                    </a:xfrm>
                    <a:prstGeom prst="rect">
                      <a:avLst/>
                    </a:prstGeom>
                  </pic:spPr>
                </pic:pic>
              </a:graphicData>
            </a:graphic>
          </wp:inline>
        </w:drawing>
      </w:r>
      <w:r>
        <w:rPr/>
        <w:t xml:space="preserve"> </w:t>
      </w:r>
    </w:p>
    <w:p>
      <w:pPr>
        <w:pStyle w:val="TextBody"/>
        <w:bidi w:val="0"/>
        <w:spacing w:before="1200" w:after="0"/>
        <w:jc w:val="center"/>
        <w:rPr/>
      </w:pPr>
      <w:r>
        <w:rPr/>
        <w:t xml:space="preserve">    </w:t>
      </w:r>
      <w:r>
        <w:rPr>
          <w:rFonts w:ascii="Times New Roman" w:hAnsi="Times New Roman"/>
          <w:i/>
          <w:sz w:val="24"/>
        </w:rPr>
        <w:t xml:space="preserve">Shares of Common Stock </w:t>
      </w:r>
    </w:p>
    <w:p>
      <w:pPr>
        <w:pStyle w:val="TextBody"/>
        <w:bidi w:val="0"/>
        <w:spacing w:before="2000" w:after="0"/>
        <w:jc w:val="center"/>
        <w:rPr>
          <w:rFonts w:ascii="Times New Roman" w:hAnsi="Times New Roman"/>
          <w:i/>
          <w:sz w:val="24"/>
        </w:rPr>
      </w:pPr>
      <w:r>
        <w:rPr>
          <w:rFonts w:ascii="Times New Roman" w:hAnsi="Times New Roman"/>
          <w:i/>
          <w:sz w:val="24"/>
        </w:rPr>
        <w:t xml:space="preserve">PROSPECTUS SUPPLEMENT </w:t>
      </w:r>
    </w:p>
    <w:p>
      <w:pPr>
        <w:pStyle w:val="TextBody"/>
        <w:bidi w:val="0"/>
        <w:spacing w:before="200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043"/>
        <w:gridCol w:w="101"/>
        <w:gridCol w:w="2859"/>
        <w:gridCol w:w="101"/>
        <w:gridCol w:w="1428"/>
        <w:gridCol w:w="101"/>
        <w:gridCol w:w="1022"/>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449" w:type="dxa"/>
            <w:tcBorders/>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2043" w:type="dxa"/>
            <w:tcBorders/>
          </w:tcPr>
          <w:p>
            <w:pPr>
              <w:pStyle w:val="TableContents"/>
              <w:bidi w:val="0"/>
              <w:spacing w:before="0" w:after="283"/>
              <w:jc w:val="center"/>
              <w:rPr>
                <w:i/>
              </w:rPr>
            </w:pPr>
            <w:r>
              <w:rPr>
                <w:i/>
              </w:rPr>
              <w:t>TD Cowen</w:t>
            </w:r>
          </w:p>
        </w:tc>
        <w:tc>
          <w:tcPr>
            <w:tcW w:w="10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center"/>
              <w:rPr>
                <w:i/>
              </w:rPr>
            </w:pPr>
            <w:r>
              <w:rPr>
                <w:i/>
              </w:rPr>
              <w:t>BofA Securities</w:t>
            </w:r>
          </w:p>
        </w:tc>
        <w:tc>
          <w:tcPr>
            <w:tcW w:w="101"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center"/>
              <w:rPr>
                <w:i/>
              </w:rPr>
            </w:pPr>
            <w:r>
              <w:rPr>
                <w:i/>
              </w:rPr>
              <w:t>Cantor</w:t>
            </w:r>
          </w:p>
        </w:tc>
        <w:tc>
          <w:tcPr>
            <w:tcW w:w="101"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i/>
              </w:rPr>
            </w:pPr>
            <w:r>
              <w:rPr>
                <w:i/>
              </w:rPr>
              <w:t>Stifel</w:t>
            </w:r>
          </w:p>
        </w:tc>
      </w:tr>
    </w:tbl>
    <w:p>
      <w:pPr>
        <w:pStyle w:val="TextBody"/>
        <w:bidi w:val="0"/>
        <w:spacing w:before="1200" w:after="0"/>
        <w:jc w:val="both"/>
        <w:rPr/>
      </w:pPr>
      <w:r>
        <w:rPr/>
        <w:t>     </w:t>
      </w:r>
      <w:r>
        <w:rPr>
          <w:rFonts w:ascii="Times New Roman" w:hAnsi="Times New Roman"/>
          <w:i/>
          <w:sz w:val="20"/>
        </w:rPr>
        <w:t xml:space="preserve">, 2026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Bodoni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2023658/000202365825000012/bcax-20241231.htm" TargetMode="External"/><Relationship Id="rId4" Type="http://schemas.openxmlformats.org/officeDocument/2006/relationships/hyperlink" Target="http://www.sec.gov/Archives/edgar/data/../../../ix?doc=/Archives/edgar/data/2023658/000202365825000012/bcax-20241231.htm" TargetMode="External"/><Relationship Id="rId5" Type="http://schemas.openxmlformats.org/officeDocument/2006/relationships/hyperlink" Target="http://www.sec.gov/Archives/edgar/data/../../../ix?doc=/Archives/edgar/data/2023658/000202365825000027/bcax-20250425.htm" TargetMode="External"/><Relationship Id="rId6" Type="http://schemas.openxmlformats.org/officeDocument/2006/relationships/hyperlink" Target="http://www.sec.gov/Archives/edgar/data/../../../ix?doc=/Archives/edgar/data/0002023658/000202365825000039/bcax-20250331.htm" TargetMode="External"/><Relationship Id="rId7" Type="http://schemas.openxmlformats.org/officeDocument/2006/relationships/hyperlink" Target="http://www.sec.gov/Archives/edgar/data/../../../ix?doc=/Archives/edgar/data/0002023658/000202365825000098/bcax-20250630.htm" TargetMode="External"/><Relationship Id="rId8" Type="http://schemas.openxmlformats.org/officeDocument/2006/relationships/hyperlink" Target="http://www.sec.gov/Archives/edgar/data/../../../ix?doc=/Archives/edgar/data/2023658/000202365825000109/bcax-20250930.htm" TargetMode="External"/><Relationship Id="rId9" Type="http://schemas.openxmlformats.org/officeDocument/2006/relationships/hyperlink" Target="http://www.sec.gov/Archives/edgar/data/../../../ix?doc=/Archives/edgar/data/0002023658/000202365825000063/bcax-20250602.htm" TargetMode="External"/><Relationship Id="rId10" Type="http://schemas.openxmlformats.org/officeDocument/2006/relationships/hyperlink" Target="http://www.sec.gov/Archives/edgar/data/../../../ix?doc=/Archives/edgar/data/0002023658/000202365825000082/bcax-20250609.htm" TargetMode="External"/><Relationship Id="rId11" Type="http://schemas.openxmlformats.org/officeDocument/2006/relationships/hyperlink" Target="http://www.sec.gov/Archives/edgar/data/../../../ix?doc=/Archives/edgar/data/2023658/000202365825000112/bcax-20251206.htm" TargetMode="External"/><Relationship Id="rId12" Type="http://schemas.openxmlformats.org/officeDocument/2006/relationships/hyperlink" Target="http://www.sec.gov/Archives/edgar/data/../../../ix?doc=/Archives/edgar/data/2023658/000162828026001766/bcax-20260112.htm" TargetMode="External"/><Relationship Id="rId13" Type="http://schemas.openxmlformats.org/officeDocument/2006/relationships/hyperlink" Target="http://www.sec.gov/Archives/edgar/data/../../../ix?doc=/Archives/edgar/data/2023658/000162828026009808/bcax-20260219.htm" TargetMode="External"/><Relationship Id="rId14" Type="http://schemas.openxmlformats.org/officeDocument/2006/relationships/hyperlink" Target="http://www.sec.gov/Archives/edgar/data/2023658/000119312524216612/d883857d8a12b.htm" TargetMode="External"/><Relationship Id="rId15" Type="http://schemas.openxmlformats.org/officeDocument/2006/relationships/hyperlink" Target="http://www.sec.gov/Archives/edgar/data/2023658/000202365825000012/exhibit43descriptionofsecu.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hyperlink" Target="http://www.sec.gov/Archives/edgar/data/../../../ix?doc=/Archives/edgar/data/0002023658/000202365825000012/bcax-20241231.htm" TargetMode="External"/><Relationship Id="rId19" Type="http://schemas.openxmlformats.org/officeDocument/2006/relationships/hyperlink" Target="http://www.sec.gov/Archives/edgar/data/../../../ix?doc=/Archives/edgar/data/0002023658/000202365825000027/bcax-20250425.htm" TargetMode="External"/><Relationship Id="rId20" Type="http://schemas.openxmlformats.org/officeDocument/2006/relationships/hyperlink" Target="http://www.sec.gov/Archives/edgar/data/../../../ix?doc=/Archives/edgar/data/0002023658/000202365825000039/bcax-20250331.htm" TargetMode="External"/><Relationship Id="rId21" Type="http://schemas.openxmlformats.org/officeDocument/2006/relationships/hyperlink" Target="http://www.sec.gov/Archives/edgar/data/../../../ix?doc=/Archives/edgar/data/0002023658/000202365825000098/bcax-20250630.htm" TargetMode="External"/><Relationship Id="rId22" Type="http://schemas.openxmlformats.org/officeDocument/2006/relationships/hyperlink" Target="http://www.sec.gov/Archives/edgar/data/../../../ix?doc=/Archives/edgar/data/0002023658/000202365825000063/bcax-20250602.htm" TargetMode="External"/><Relationship Id="rId23" Type="http://schemas.openxmlformats.org/officeDocument/2006/relationships/hyperlink" Target="http://www.sec.gov/Archives/edgar/data/../../../ix?doc=/Archives/edgar/data/0002023658/000202365825000082/bcax-20250609.htm" TargetMode="External"/><Relationship Id="rId24" Type="http://schemas.openxmlformats.org/officeDocument/2006/relationships/hyperlink" Target="http://www.sec.gov/Archives/edgar/data/2023658/000119312524216612/d883857d8a12b.htm" TargetMode="External"/><Relationship Id="rId25" Type="http://schemas.openxmlformats.org/officeDocument/2006/relationships/hyperlink" Target="http://www.sec.gov/Archives/edgar/data/2023658/000202365825000012/exhibit43descriptionofsecu.htm" TargetMode="External"/><Relationship Id="rId26" Type="http://schemas.openxmlformats.org/officeDocument/2006/relationships/image" Target="media/image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33661</Words>
  <Characters>178333</Characters>
  <CharactersWithSpaces>212868</CharactersWithSpaces>
  <Paragraphs>2248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