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Robertson Scott M.</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Bicara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BCAX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BICARA THERAPEUTICS INC.</w:t>
            </w:r>
          </w:p>
        </w:tc>
        <w:tc>
          <w:tcPr>
            <w:tcW w:w="120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116 HUNTINGTON AVENUE, SUITE 703</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19,475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19,475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19,475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stock option vest upon the earlier of (i) June 9, 2027 or (ii) the date of the next Annual Meeting of Stockholders of Bicara Therapeutics Inc., subject to the Reporting Person's continued service on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Cohlhepp,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82035" TargetMode="External"/><Relationship Id="rId14" Type="http://schemas.openxmlformats.org/officeDocument/2006/relationships/hyperlink" Target="http://www.sec.gov/cgi-bin/browse-edgar?action=getcompany&amp;CIK=00020236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2026-06-10T15:35:30Z</dcterms:created>
  <dcterms:modified xsi:type="dcterms:W3CDTF">2026-06-10T15:35:30Z</dcterms:modified>
</cp:coreProperties>
</file>